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C5B92C">
      <w:pPr>
        <w:ind w:firstLine="883"/>
        <w:jc w:val="center"/>
        <w:rPr>
          <w:b/>
          <w:sz w:val="44"/>
        </w:rPr>
      </w:pPr>
    </w:p>
    <w:p w14:paraId="1448625A">
      <w:pPr>
        <w:ind w:firstLine="803"/>
        <w:jc w:val="center"/>
        <w:outlineLvl w:val="0"/>
        <w:rPr>
          <w:b/>
          <w:sz w:val="44"/>
        </w:rPr>
      </w:pPr>
      <w:bookmarkStart w:id="0" w:name="_Toc125886148"/>
      <w:bookmarkStart w:id="1" w:name="_Toc125886583"/>
      <w:bookmarkStart w:id="2" w:name="_Toc19032"/>
      <w:r>
        <w:rPr>
          <w:b/>
          <w:sz w:val="40"/>
          <w:szCs w:val="40"/>
        </w:rPr>
        <w:t>乐平市土地征收成片开发</w:t>
      </w:r>
      <w:r>
        <w:rPr>
          <w:rFonts w:hint="eastAsia"/>
          <w:b/>
          <w:sz w:val="40"/>
          <w:szCs w:val="40"/>
        </w:rPr>
        <w:t>方案</w:t>
      </w:r>
      <w:r>
        <w:rPr>
          <w:b/>
          <w:sz w:val="40"/>
          <w:szCs w:val="40"/>
        </w:rPr>
        <w:t>（</w:t>
      </w:r>
      <w:r>
        <w:rPr>
          <w:rFonts w:hint="eastAsia" w:ascii="仿宋" w:hAnsi="仿宋"/>
          <w:b/>
          <w:sz w:val="40"/>
          <w:szCs w:val="40"/>
        </w:rPr>
        <w:t>2023</w:t>
      </w:r>
      <w:r>
        <w:rPr>
          <w:rFonts w:hint="eastAsia"/>
          <w:b/>
          <w:sz w:val="40"/>
          <w:szCs w:val="40"/>
        </w:rPr>
        <w:t>年</w:t>
      </w:r>
      <w:r>
        <w:rPr>
          <w:b/>
          <w:sz w:val="40"/>
          <w:szCs w:val="40"/>
        </w:rPr>
        <w:t>）</w:t>
      </w:r>
      <w:r>
        <w:rPr>
          <w:b/>
          <w:sz w:val="44"/>
        </w:rPr>
        <w:t>（</w:t>
      </w:r>
      <w:r>
        <w:rPr>
          <w:rFonts w:hint="eastAsia"/>
          <w:b/>
          <w:sz w:val="44"/>
        </w:rPr>
        <w:t>草案</w:t>
      </w:r>
      <w:r>
        <w:rPr>
          <w:b/>
          <w:sz w:val="44"/>
        </w:rPr>
        <w:t>）</w:t>
      </w:r>
      <w:bookmarkEnd w:id="0"/>
      <w:bookmarkEnd w:id="1"/>
      <w:bookmarkEnd w:id="2"/>
    </w:p>
    <w:p w14:paraId="12DA3D80">
      <w:pPr>
        <w:ind w:firstLine="883"/>
        <w:rPr>
          <w:b/>
          <w:sz w:val="44"/>
        </w:rPr>
      </w:pPr>
    </w:p>
    <w:p w14:paraId="18CDBE10">
      <w:pPr>
        <w:ind w:firstLine="883"/>
        <w:rPr>
          <w:b/>
          <w:sz w:val="44"/>
        </w:rPr>
      </w:pPr>
    </w:p>
    <w:p w14:paraId="6DE506C0">
      <w:pPr>
        <w:ind w:firstLine="883"/>
        <w:jc w:val="center"/>
        <w:rPr>
          <w:b/>
          <w:sz w:val="44"/>
        </w:rPr>
      </w:pPr>
    </w:p>
    <w:p w14:paraId="59F2C4FB">
      <w:pPr>
        <w:ind w:firstLine="883"/>
        <w:jc w:val="center"/>
        <w:rPr>
          <w:b/>
          <w:sz w:val="44"/>
        </w:rPr>
      </w:pPr>
    </w:p>
    <w:p w14:paraId="0D5F1AA2">
      <w:pPr>
        <w:ind w:firstLine="883"/>
        <w:jc w:val="center"/>
        <w:rPr>
          <w:b/>
          <w:sz w:val="44"/>
        </w:rPr>
      </w:pPr>
    </w:p>
    <w:p w14:paraId="245C6935">
      <w:pPr>
        <w:ind w:firstLine="883"/>
        <w:jc w:val="center"/>
        <w:rPr>
          <w:b/>
          <w:sz w:val="44"/>
        </w:rPr>
      </w:pPr>
    </w:p>
    <w:p w14:paraId="3F580EAC">
      <w:pPr>
        <w:ind w:firstLine="883"/>
        <w:jc w:val="center"/>
        <w:rPr>
          <w:b/>
          <w:sz w:val="44"/>
        </w:rPr>
      </w:pPr>
      <w:r>
        <w:rPr>
          <w:b/>
          <w:sz w:val="44"/>
        </w:rPr>
        <w:tab/>
      </w:r>
    </w:p>
    <w:p w14:paraId="14807A44">
      <w:pPr>
        <w:ind w:firstLine="883"/>
        <w:jc w:val="center"/>
        <w:rPr>
          <w:b/>
          <w:sz w:val="44"/>
        </w:rPr>
      </w:pPr>
    </w:p>
    <w:p w14:paraId="09326125">
      <w:pPr>
        <w:ind w:firstLine="883"/>
        <w:jc w:val="center"/>
        <w:rPr>
          <w:b/>
          <w:sz w:val="44"/>
        </w:rPr>
      </w:pPr>
    </w:p>
    <w:p w14:paraId="15295509">
      <w:pPr>
        <w:ind w:firstLine="883"/>
        <w:jc w:val="center"/>
        <w:rPr>
          <w:b/>
          <w:sz w:val="44"/>
        </w:rPr>
      </w:pPr>
    </w:p>
    <w:p w14:paraId="1F1485EF">
      <w:pPr>
        <w:ind w:firstLine="883"/>
        <w:jc w:val="center"/>
        <w:rPr>
          <w:b/>
          <w:sz w:val="44"/>
        </w:rPr>
      </w:pPr>
      <w:r>
        <w:rPr>
          <w:b/>
          <w:sz w:val="44"/>
        </w:rPr>
        <w:t>乐平市人民政府</w:t>
      </w:r>
    </w:p>
    <w:p w14:paraId="6B64873A">
      <w:pPr>
        <w:ind w:firstLine="883"/>
        <w:jc w:val="center"/>
        <w:rPr>
          <w:b/>
          <w:sz w:val="44"/>
        </w:rPr>
      </w:pPr>
      <w:r>
        <w:rPr>
          <w:rFonts w:hint="eastAsia" w:ascii="仿宋" w:hAnsi="仿宋"/>
          <w:b/>
          <w:sz w:val="44"/>
        </w:rPr>
        <w:t>2</w:t>
      </w:r>
      <w:r>
        <w:rPr>
          <w:rFonts w:ascii="仿宋" w:hAnsi="仿宋"/>
          <w:b/>
          <w:sz w:val="44"/>
        </w:rPr>
        <w:t>02</w:t>
      </w:r>
      <w:r>
        <w:rPr>
          <w:rFonts w:hint="eastAsia" w:ascii="仿宋" w:hAnsi="仿宋"/>
          <w:b/>
          <w:sz w:val="44"/>
        </w:rPr>
        <w:t>3</w:t>
      </w:r>
      <w:r>
        <w:rPr>
          <w:rFonts w:ascii="仿宋" w:hAnsi="仿宋"/>
          <w:b/>
          <w:sz w:val="44"/>
        </w:rPr>
        <w:t>年</w:t>
      </w:r>
      <w:r>
        <w:rPr>
          <w:rFonts w:hint="eastAsia" w:ascii="仿宋" w:hAnsi="仿宋"/>
          <w:b/>
          <w:sz w:val="44"/>
        </w:rPr>
        <w:t>1</w:t>
      </w:r>
      <w:r>
        <w:rPr>
          <w:b/>
          <w:sz w:val="44"/>
        </w:rPr>
        <w:t>月</w:t>
      </w:r>
    </w:p>
    <w:p w14:paraId="7E264416">
      <w:pPr>
        <w:ind w:firstLine="883"/>
        <w:jc w:val="center"/>
        <w:rPr>
          <w:b/>
          <w:sz w:val="44"/>
        </w:rPr>
      </w:pPr>
    </w:p>
    <w:p w14:paraId="73742342">
      <w:pPr>
        <w:ind w:firstLine="883"/>
        <w:jc w:val="center"/>
        <w:outlineLvl w:val="0"/>
        <w:rPr>
          <w:b/>
          <w:sz w:val="44"/>
        </w:rPr>
      </w:pPr>
      <w:bookmarkStart w:id="3" w:name="_Toc125886584"/>
      <w:bookmarkStart w:id="4" w:name="_Toc27991"/>
      <w:bookmarkStart w:id="5" w:name="_Toc125886149"/>
      <w:r>
        <w:rPr>
          <w:rFonts w:hint="eastAsia"/>
          <w:b/>
          <w:sz w:val="44"/>
        </w:rPr>
        <w:t>乐平市土地征收成片开发方案</w:t>
      </w:r>
      <w:bookmarkEnd w:id="3"/>
      <w:bookmarkEnd w:id="4"/>
      <w:bookmarkEnd w:id="5"/>
    </w:p>
    <w:p w14:paraId="1D242CFC">
      <w:pPr>
        <w:ind w:firstLine="883"/>
        <w:jc w:val="center"/>
        <w:rPr>
          <w:b/>
          <w:sz w:val="44"/>
        </w:rPr>
      </w:pPr>
      <w:r>
        <w:rPr>
          <w:rFonts w:hint="eastAsia"/>
          <w:b/>
          <w:sz w:val="44"/>
        </w:rPr>
        <w:t>（</w:t>
      </w:r>
      <w:r>
        <w:rPr>
          <w:rFonts w:hint="eastAsia" w:ascii="仿宋" w:hAnsi="仿宋"/>
          <w:b/>
          <w:sz w:val="44"/>
        </w:rPr>
        <w:t>2023</w:t>
      </w:r>
      <w:r>
        <w:rPr>
          <w:rFonts w:hint="eastAsia"/>
          <w:b/>
          <w:sz w:val="44"/>
        </w:rPr>
        <w:t>年）</w:t>
      </w:r>
    </w:p>
    <w:p w14:paraId="179164CD">
      <w:pPr>
        <w:ind w:firstLine="883"/>
        <w:jc w:val="left"/>
        <w:rPr>
          <w:b/>
          <w:sz w:val="44"/>
        </w:rPr>
      </w:pPr>
    </w:p>
    <w:p w14:paraId="77D2CAF6">
      <w:pPr>
        <w:ind w:firstLine="0" w:firstLineChars="0"/>
        <w:jc w:val="left"/>
        <w:rPr>
          <w:sz w:val="36"/>
          <w:szCs w:val="36"/>
        </w:rPr>
      </w:pPr>
      <w:r>
        <w:rPr>
          <w:sz w:val="36"/>
          <w:szCs w:val="36"/>
        </w:rPr>
        <w:t>市级主管部门：景德镇市自然资源和规划局（公章）</w:t>
      </w:r>
    </w:p>
    <w:p w14:paraId="09BAEDDD">
      <w:pPr>
        <w:ind w:firstLine="198" w:firstLineChars="55"/>
        <w:jc w:val="left"/>
        <w:rPr>
          <w:sz w:val="36"/>
          <w:szCs w:val="36"/>
        </w:rPr>
      </w:pPr>
    </w:p>
    <w:p w14:paraId="7405A32E">
      <w:pPr>
        <w:ind w:firstLine="0" w:firstLineChars="0"/>
        <w:jc w:val="left"/>
        <w:rPr>
          <w:sz w:val="36"/>
          <w:szCs w:val="36"/>
        </w:rPr>
      </w:pPr>
      <w:r>
        <w:rPr>
          <w:sz w:val="36"/>
          <w:szCs w:val="36"/>
        </w:rPr>
        <w:t>申报单位：乐平市人民政府（公章）</w:t>
      </w:r>
    </w:p>
    <w:p w14:paraId="448F1613">
      <w:pPr>
        <w:ind w:firstLine="720"/>
        <w:jc w:val="left"/>
        <w:rPr>
          <w:sz w:val="36"/>
          <w:szCs w:val="36"/>
        </w:rPr>
      </w:pPr>
    </w:p>
    <w:p w14:paraId="73BE1CE4">
      <w:pPr>
        <w:ind w:firstLine="0" w:firstLineChars="0"/>
        <w:jc w:val="left"/>
        <w:rPr>
          <w:sz w:val="36"/>
          <w:szCs w:val="36"/>
        </w:rPr>
      </w:pPr>
      <w:r>
        <w:rPr>
          <w:sz w:val="36"/>
          <w:szCs w:val="36"/>
        </w:rPr>
        <w:t>承担单位：乐平市自然资源和规划局（公章）</w:t>
      </w:r>
    </w:p>
    <w:p w14:paraId="6FA118B7">
      <w:pPr>
        <w:ind w:firstLine="720"/>
        <w:jc w:val="left"/>
        <w:rPr>
          <w:sz w:val="36"/>
          <w:szCs w:val="36"/>
        </w:rPr>
      </w:pPr>
    </w:p>
    <w:p w14:paraId="72E2A1B5">
      <w:pPr>
        <w:ind w:firstLine="0" w:firstLineChars="0"/>
        <w:jc w:val="left"/>
        <w:rPr>
          <w:sz w:val="36"/>
          <w:szCs w:val="36"/>
        </w:rPr>
      </w:pPr>
      <w:r>
        <w:rPr>
          <w:sz w:val="36"/>
          <w:szCs w:val="36"/>
        </w:rPr>
        <w:t>技术承担单位：</w:t>
      </w:r>
    </w:p>
    <w:p w14:paraId="04E21433">
      <w:pPr>
        <w:ind w:firstLine="720"/>
        <w:jc w:val="left"/>
        <w:rPr>
          <w:sz w:val="36"/>
          <w:szCs w:val="36"/>
        </w:rPr>
      </w:pPr>
    </w:p>
    <w:p w14:paraId="7F355687">
      <w:pPr>
        <w:ind w:firstLine="0" w:firstLineChars="0"/>
        <w:jc w:val="left"/>
        <w:rPr>
          <w:sz w:val="36"/>
          <w:szCs w:val="36"/>
        </w:rPr>
      </w:pPr>
      <w:r>
        <w:rPr>
          <w:sz w:val="36"/>
          <w:szCs w:val="36"/>
        </w:rPr>
        <w:t>负责人：</w:t>
      </w:r>
    </w:p>
    <w:p w14:paraId="5A18EB35">
      <w:pPr>
        <w:ind w:firstLine="720"/>
        <w:jc w:val="left"/>
        <w:rPr>
          <w:sz w:val="36"/>
          <w:szCs w:val="36"/>
        </w:rPr>
      </w:pPr>
      <w:r>
        <w:rPr>
          <w:sz w:val="36"/>
          <w:szCs w:val="36"/>
        </w:rPr>
        <w:t>审核人：</w:t>
      </w:r>
    </w:p>
    <w:p w14:paraId="5F854B1D">
      <w:pPr>
        <w:ind w:firstLine="720"/>
        <w:jc w:val="left"/>
        <w:rPr>
          <w:sz w:val="36"/>
          <w:szCs w:val="36"/>
        </w:rPr>
      </w:pPr>
      <w:r>
        <w:rPr>
          <w:sz w:val="36"/>
          <w:szCs w:val="36"/>
        </w:rPr>
        <w:t>编制人：</w:t>
      </w:r>
    </w:p>
    <w:p w14:paraId="73A4AF31">
      <w:pPr>
        <w:ind w:firstLine="720"/>
        <w:jc w:val="left"/>
        <w:rPr>
          <w:sz w:val="36"/>
          <w:szCs w:val="36"/>
        </w:rPr>
      </w:pPr>
      <w:r>
        <w:rPr>
          <w:sz w:val="36"/>
          <w:szCs w:val="36"/>
        </w:rPr>
        <w:t>图件编制</w:t>
      </w:r>
      <w:r>
        <w:rPr>
          <w:rFonts w:hint="eastAsia"/>
          <w:sz w:val="36"/>
          <w:szCs w:val="36"/>
        </w:rPr>
        <w:t>：</w:t>
      </w:r>
    </w:p>
    <w:p w14:paraId="3C1E9963">
      <w:pPr>
        <w:ind w:firstLine="720"/>
        <w:jc w:val="left"/>
        <w:rPr>
          <w:sz w:val="36"/>
          <w:szCs w:val="36"/>
        </w:rPr>
      </w:pPr>
      <w:r>
        <w:rPr>
          <w:sz w:val="36"/>
          <w:szCs w:val="36"/>
        </w:rPr>
        <w:t>编制日期：</w:t>
      </w:r>
    </w:p>
    <w:sdt>
      <w:sdtPr>
        <w:rPr>
          <w:rFonts w:ascii="宋体" w:hAnsi="宋体" w:eastAsia="宋体"/>
          <w:sz w:val="21"/>
        </w:rPr>
        <w:id w:val="147465338"/>
        <w15:color w:val="DBDBDB"/>
        <w:docPartObj>
          <w:docPartGallery w:val="Table of Contents"/>
          <w:docPartUnique/>
        </w:docPartObj>
      </w:sdtPr>
      <w:sdtEndPr>
        <w:rPr>
          <w:rFonts w:ascii="Calibri" w:hAnsi="Calibri" w:eastAsia="仿宋"/>
          <w:sz w:val="30"/>
          <w:szCs w:val="36"/>
        </w:rPr>
      </w:sdtEndPr>
      <w:sdtContent>
        <w:p w14:paraId="27AF0BFB">
          <w:pPr>
            <w:spacing w:line="240" w:lineRule="auto"/>
            <w:ind w:firstLine="0" w:firstLineChars="0"/>
            <w:jc w:val="center"/>
            <w:rPr>
              <w:rFonts w:ascii="宋体" w:hAnsi="宋体" w:eastAsia="宋体"/>
              <w:sz w:val="21"/>
            </w:rPr>
          </w:pPr>
        </w:p>
        <w:p w14:paraId="7077403B">
          <w:pPr>
            <w:spacing w:line="240" w:lineRule="auto"/>
            <w:ind w:firstLine="0" w:firstLineChars="0"/>
            <w:jc w:val="center"/>
          </w:pPr>
          <w:r>
            <w:rPr>
              <w:rFonts w:hint="eastAsia" w:ascii="仿宋" w:hAnsi="仿宋" w:cs="仿宋"/>
              <w:sz w:val="48"/>
              <w:szCs w:val="52"/>
            </w:rPr>
            <w:t>目录</w:t>
          </w:r>
          <w:r>
            <w:rPr>
              <w:sz w:val="36"/>
              <w:szCs w:val="36"/>
            </w:rPr>
            <w:fldChar w:fldCharType="begin"/>
          </w:r>
          <w:r>
            <w:rPr>
              <w:sz w:val="36"/>
              <w:szCs w:val="36"/>
            </w:rPr>
            <w:instrText xml:space="preserve">TOC \o "1-3" \h \u </w:instrText>
          </w:r>
          <w:r>
            <w:rPr>
              <w:sz w:val="36"/>
              <w:szCs w:val="36"/>
            </w:rPr>
            <w:fldChar w:fldCharType="separate"/>
          </w:r>
        </w:p>
        <w:p w14:paraId="0FFACD4F">
          <w:pPr>
            <w:pStyle w:val="13"/>
            <w:tabs>
              <w:tab w:val="right" w:leader="dot" w:pos="8296"/>
            </w:tabs>
            <w:ind w:firstLine="0" w:firstLineChars="0"/>
            <w:rPr>
              <w:rFonts w:ascii="仿宋" w:hAnsi="仿宋"/>
              <w:sz w:val="28"/>
              <w:szCs w:val="28"/>
            </w:rPr>
          </w:pPr>
          <w:r>
            <w:fldChar w:fldCharType="begin"/>
          </w:r>
          <w:r>
            <w:instrText xml:space="preserve"> HYPERLINK \l "_Toc125886585" </w:instrText>
          </w:r>
          <w:r>
            <w:fldChar w:fldCharType="separate"/>
          </w:r>
          <w:r>
            <w:rPr>
              <w:rStyle w:val="20"/>
              <w:rFonts w:hint="eastAsia" w:ascii="仿宋" w:hAnsi="仿宋"/>
              <w:sz w:val="28"/>
              <w:szCs w:val="28"/>
            </w:rPr>
            <w:t>第一章</w:t>
          </w:r>
          <w:r>
            <w:rPr>
              <w:rStyle w:val="20"/>
              <w:rFonts w:ascii="仿宋" w:hAnsi="仿宋"/>
              <w:sz w:val="28"/>
              <w:szCs w:val="28"/>
            </w:rPr>
            <w:t xml:space="preserve"> </w:t>
          </w:r>
          <w:r>
            <w:rPr>
              <w:rStyle w:val="20"/>
              <w:rFonts w:hint="eastAsia" w:ascii="仿宋" w:hAnsi="仿宋"/>
              <w:sz w:val="28"/>
              <w:szCs w:val="28"/>
            </w:rPr>
            <w:t>总则</w:t>
          </w:r>
          <w:r>
            <w:rPr>
              <w:rFonts w:ascii="仿宋" w:hAnsi="仿宋"/>
              <w:sz w:val="28"/>
              <w:szCs w:val="28"/>
            </w:rPr>
            <w:tab/>
          </w:r>
          <w:r>
            <w:rPr>
              <w:rFonts w:ascii="仿宋" w:hAnsi="仿宋"/>
              <w:sz w:val="28"/>
              <w:szCs w:val="28"/>
            </w:rPr>
            <w:fldChar w:fldCharType="begin"/>
          </w:r>
          <w:r>
            <w:rPr>
              <w:rFonts w:ascii="仿宋" w:hAnsi="仿宋"/>
              <w:sz w:val="28"/>
              <w:szCs w:val="28"/>
            </w:rPr>
            <w:instrText xml:space="preserve"> PAGEREF _Toc125886585 \h </w:instrText>
          </w:r>
          <w:r>
            <w:rPr>
              <w:rFonts w:ascii="仿宋" w:hAnsi="仿宋"/>
              <w:sz w:val="28"/>
              <w:szCs w:val="28"/>
            </w:rPr>
            <w:fldChar w:fldCharType="separate"/>
          </w:r>
          <w:r>
            <w:rPr>
              <w:rFonts w:ascii="仿宋" w:hAnsi="仿宋"/>
              <w:sz w:val="28"/>
              <w:szCs w:val="28"/>
            </w:rPr>
            <w:t>1</w:t>
          </w:r>
          <w:r>
            <w:rPr>
              <w:rFonts w:ascii="仿宋" w:hAnsi="仿宋"/>
              <w:sz w:val="28"/>
              <w:szCs w:val="28"/>
            </w:rPr>
            <w:fldChar w:fldCharType="end"/>
          </w:r>
          <w:r>
            <w:rPr>
              <w:rFonts w:ascii="仿宋" w:hAnsi="仿宋"/>
              <w:sz w:val="28"/>
              <w:szCs w:val="28"/>
            </w:rPr>
            <w:fldChar w:fldCharType="end"/>
          </w:r>
        </w:p>
        <w:p w14:paraId="20039C86">
          <w:pPr>
            <w:pStyle w:val="14"/>
            <w:tabs>
              <w:tab w:val="right" w:leader="dot" w:pos="8296"/>
            </w:tabs>
            <w:ind w:left="600" w:firstLine="0" w:firstLineChars="0"/>
            <w:rPr>
              <w:rFonts w:ascii="仿宋" w:hAnsi="仿宋"/>
              <w:sz w:val="28"/>
              <w:szCs w:val="28"/>
            </w:rPr>
          </w:pPr>
          <w:r>
            <w:fldChar w:fldCharType="begin"/>
          </w:r>
          <w:r>
            <w:instrText xml:space="preserve"> HYPERLINK \l "_Toc125886586" </w:instrText>
          </w:r>
          <w:r>
            <w:fldChar w:fldCharType="separate"/>
          </w:r>
          <w:r>
            <w:rPr>
              <w:rStyle w:val="20"/>
              <w:rFonts w:hint="eastAsia" w:ascii="仿宋" w:hAnsi="仿宋"/>
              <w:sz w:val="28"/>
              <w:szCs w:val="28"/>
            </w:rPr>
            <w:t>一、编制背景</w:t>
          </w:r>
          <w:r>
            <w:rPr>
              <w:rFonts w:ascii="仿宋" w:hAnsi="仿宋"/>
              <w:sz w:val="28"/>
              <w:szCs w:val="28"/>
            </w:rPr>
            <w:tab/>
          </w:r>
          <w:r>
            <w:rPr>
              <w:rFonts w:ascii="仿宋" w:hAnsi="仿宋"/>
              <w:sz w:val="28"/>
              <w:szCs w:val="28"/>
            </w:rPr>
            <w:fldChar w:fldCharType="begin"/>
          </w:r>
          <w:r>
            <w:rPr>
              <w:rFonts w:ascii="仿宋" w:hAnsi="仿宋"/>
              <w:sz w:val="28"/>
              <w:szCs w:val="28"/>
            </w:rPr>
            <w:instrText xml:space="preserve"> PAGEREF _Toc125886586 \h </w:instrText>
          </w:r>
          <w:r>
            <w:rPr>
              <w:rFonts w:ascii="仿宋" w:hAnsi="仿宋"/>
              <w:sz w:val="28"/>
              <w:szCs w:val="28"/>
            </w:rPr>
            <w:fldChar w:fldCharType="separate"/>
          </w:r>
          <w:r>
            <w:rPr>
              <w:rFonts w:ascii="仿宋" w:hAnsi="仿宋"/>
              <w:sz w:val="28"/>
              <w:szCs w:val="28"/>
            </w:rPr>
            <w:t>1</w:t>
          </w:r>
          <w:r>
            <w:rPr>
              <w:rFonts w:ascii="仿宋" w:hAnsi="仿宋"/>
              <w:sz w:val="28"/>
              <w:szCs w:val="28"/>
            </w:rPr>
            <w:fldChar w:fldCharType="end"/>
          </w:r>
          <w:r>
            <w:rPr>
              <w:rFonts w:ascii="仿宋" w:hAnsi="仿宋"/>
              <w:sz w:val="28"/>
              <w:szCs w:val="28"/>
            </w:rPr>
            <w:fldChar w:fldCharType="end"/>
          </w:r>
        </w:p>
        <w:p w14:paraId="18BC0BFA">
          <w:pPr>
            <w:pStyle w:val="14"/>
            <w:tabs>
              <w:tab w:val="right" w:leader="dot" w:pos="8296"/>
            </w:tabs>
            <w:ind w:left="600" w:firstLine="0" w:firstLineChars="0"/>
            <w:rPr>
              <w:rFonts w:ascii="仿宋" w:hAnsi="仿宋"/>
              <w:sz w:val="28"/>
              <w:szCs w:val="28"/>
            </w:rPr>
          </w:pPr>
          <w:r>
            <w:fldChar w:fldCharType="begin"/>
          </w:r>
          <w:r>
            <w:instrText xml:space="preserve"> HYPERLINK \l "_Toc125886587" </w:instrText>
          </w:r>
          <w:r>
            <w:fldChar w:fldCharType="separate"/>
          </w:r>
          <w:r>
            <w:rPr>
              <w:rStyle w:val="20"/>
              <w:rFonts w:hint="eastAsia" w:ascii="仿宋" w:hAnsi="仿宋"/>
              <w:sz w:val="28"/>
              <w:szCs w:val="28"/>
            </w:rPr>
            <w:t>二、编制目的</w:t>
          </w:r>
          <w:r>
            <w:rPr>
              <w:rFonts w:ascii="仿宋" w:hAnsi="仿宋"/>
              <w:sz w:val="28"/>
              <w:szCs w:val="28"/>
            </w:rPr>
            <w:tab/>
          </w:r>
          <w:r>
            <w:rPr>
              <w:rFonts w:ascii="仿宋" w:hAnsi="仿宋"/>
              <w:sz w:val="28"/>
              <w:szCs w:val="28"/>
            </w:rPr>
            <w:fldChar w:fldCharType="begin"/>
          </w:r>
          <w:r>
            <w:rPr>
              <w:rFonts w:ascii="仿宋" w:hAnsi="仿宋"/>
              <w:sz w:val="28"/>
              <w:szCs w:val="28"/>
            </w:rPr>
            <w:instrText xml:space="preserve"> PAGEREF _Toc125886587 \h </w:instrText>
          </w:r>
          <w:r>
            <w:rPr>
              <w:rFonts w:ascii="仿宋" w:hAnsi="仿宋"/>
              <w:sz w:val="28"/>
              <w:szCs w:val="28"/>
            </w:rPr>
            <w:fldChar w:fldCharType="separate"/>
          </w:r>
          <w:r>
            <w:rPr>
              <w:rFonts w:ascii="仿宋" w:hAnsi="仿宋"/>
              <w:sz w:val="28"/>
              <w:szCs w:val="28"/>
            </w:rPr>
            <w:t>2</w:t>
          </w:r>
          <w:r>
            <w:rPr>
              <w:rFonts w:ascii="仿宋" w:hAnsi="仿宋"/>
              <w:sz w:val="28"/>
              <w:szCs w:val="28"/>
            </w:rPr>
            <w:fldChar w:fldCharType="end"/>
          </w:r>
          <w:r>
            <w:rPr>
              <w:rFonts w:ascii="仿宋" w:hAnsi="仿宋"/>
              <w:sz w:val="28"/>
              <w:szCs w:val="28"/>
            </w:rPr>
            <w:fldChar w:fldCharType="end"/>
          </w:r>
        </w:p>
        <w:p w14:paraId="51628AF5">
          <w:pPr>
            <w:pStyle w:val="14"/>
            <w:tabs>
              <w:tab w:val="right" w:leader="dot" w:pos="8296"/>
            </w:tabs>
            <w:ind w:left="600" w:firstLine="0" w:firstLineChars="0"/>
            <w:rPr>
              <w:rFonts w:ascii="仿宋" w:hAnsi="仿宋"/>
              <w:sz w:val="28"/>
              <w:szCs w:val="28"/>
            </w:rPr>
          </w:pPr>
          <w:r>
            <w:fldChar w:fldCharType="begin"/>
          </w:r>
          <w:r>
            <w:instrText xml:space="preserve"> HYPERLINK \l "_Toc125886588" </w:instrText>
          </w:r>
          <w:r>
            <w:fldChar w:fldCharType="separate"/>
          </w:r>
          <w:r>
            <w:rPr>
              <w:rStyle w:val="20"/>
              <w:rFonts w:hint="eastAsia" w:ascii="仿宋" w:hAnsi="仿宋"/>
              <w:sz w:val="28"/>
              <w:szCs w:val="28"/>
            </w:rPr>
            <w:t>三、指导思想</w:t>
          </w:r>
          <w:r>
            <w:rPr>
              <w:rFonts w:ascii="仿宋" w:hAnsi="仿宋"/>
              <w:sz w:val="28"/>
              <w:szCs w:val="28"/>
            </w:rPr>
            <w:tab/>
          </w:r>
          <w:r>
            <w:rPr>
              <w:rFonts w:ascii="仿宋" w:hAnsi="仿宋"/>
              <w:sz w:val="28"/>
              <w:szCs w:val="28"/>
            </w:rPr>
            <w:fldChar w:fldCharType="begin"/>
          </w:r>
          <w:r>
            <w:rPr>
              <w:rFonts w:ascii="仿宋" w:hAnsi="仿宋"/>
              <w:sz w:val="28"/>
              <w:szCs w:val="28"/>
            </w:rPr>
            <w:instrText xml:space="preserve"> PAGEREF _Toc125886588 \h </w:instrText>
          </w:r>
          <w:r>
            <w:rPr>
              <w:rFonts w:ascii="仿宋" w:hAnsi="仿宋"/>
              <w:sz w:val="28"/>
              <w:szCs w:val="28"/>
            </w:rPr>
            <w:fldChar w:fldCharType="separate"/>
          </w:r>
          <w:r>
            <w:rPr>
              <w:rFonts w:ascii="仿宋" w:hAnsi="仿宋"/>
              <w:sz w:val="28"/>
              <w:szCs w:val="28"/>
            </w:rPr>
            <w:t>3</w:t>
          </w:r>
          <w:r>
            <w:rPr>
              <w:rFonts w:ascii="仿宋" w:hAnsi="仿宋"/>
              <w:sz w:val="28"/>
              <w:szCs w:val="28"/>
            </w:rPr>
            <w:fldChar w:fldCharType="end"/>
          </w:r>
          <w:r>
            <w:rPr>
              <w:rFonts w:ascii="仿宋" w:hAnsi="仿宋"/>
              <w:sz w:val="28"/>
              <w:szCs w:val="28"/>
            </w:rPr>
            <w:fldChar w:fldCharType="end"/>
          </w:r>
        </w:p>
        <w:p w14:paraId="2C161F7E">
          <w:pPr>
            <w:pStyle w:val="14"/>
            <w:tabs>
              <w:tab w:val="right" w:leader="dot" w:pos="8296"/>
            </w:tabs>
            <w:ind w:left="600" w:firstLine="0" w:firstLineChars="0"/>
            <w:rPr>
              <w:rFonts w:ascii="仿宋" w:hAnsi="仿宋"/>
              <w:sz w:val="28"/>
              <w:szCs w:val="28"/>
            </w:rPr>
          </w:pPr>
          <w:r>
            <w:fldChar w:fldCharType="begin"/>
          </w:r>
          <w:r>
            <w:instrText xml:space="preserve"> HYPERLINK \l "_Toc125886589" </w:instrText>
          </w:r>
          <w:r>
            <w:fldChar w:fldCharType="separate"/>
          </w:r>
          <w:r>
            <w:rPr>
              <w:rStyle w:val="20"/>
              <w:rFonts w:hint="eastAsia" w:ascii="仿宋" w:hAnsi="仿宋"/>
              <w:sz w:val="28"/>
              <w:szCs w:val="28"/>
            </w:rPr>
            <w:t>四、编制原则</w:t>
          </w:r>
          <w:r>
            <w:rPr>
              <w:rFonts w:ascii="仿宋" w:hAnsi="仿宋"/>
              <w:sz w:val="28"/>
              <w:szCs w:val="28"/>
            </w:rPr>
            <w:tab/>
          </w:r>
          <w:r>
            <w:rPr>
              <w:rFonts w:ascii="仿宋" w:hAnsi="仿宋"/>
              <w:sz w:val="28"/>
              <w:szCs w:val="28"/>
            </w:rPr>
            <w:fldChar w:fldCharType="begin"/>
          </w:r>
          <w:r>
            <w:rPr>
              <w:rFonts w:ascii="仿宋" w:hAnsi="仿宋"/>
              <w:sz w:val="28"/>
              <w:szCs w:val="28"/>
            </w:rPr>
            <w:instrText xml:space="preserve"> PAGEREF _Toc125886589 \h </w:instrText>
          </w:r>
          <w:r>
            <w:rPr>
              <w:rFonts w:ascii="仿宋" w:hAnsi="仿宋"/>
              <w:sz w:val="28"/>
              <w:szCs w:val="28"/>
            </w:rPr>
            <w:fldChar w:fldCharType="separate"/>
          </w:r>
          <w:r>
            <w:rPr>
              <w:rFonts w:ascii="仿宋" w:hAnsi="仿宋"/>
              <w:sz w:val="28"/>
              <w:szCs w:val="28"/>
            </w:rPr>
            <w:t>3</w:t>
          </w:r>
          <w:r>
            <w:rPr>
              <w:rFonts w:ascii="仿宋" w:hAnsi="仿宋"/>
              <w:sz w:val="28"/>
              <w:szCs w:val="28"/>
            </w:rPr>
            <w:fldChar w:fldCharType="end"/>
          </w:r>
          <w:r>
            <w:rPr>
              <w:rFonts w:ascii="仿宋" w:hAnsi="仿宋"/>
              <w:sz w:val="28"/>
              <w:szCs w:val="28"/>
            </w:rPr>
            <w:fldChar w:fldCharType="end"/>
          </w:r>
        </w:p>
        <w:p w14:paraId="19481552">
          <w:pPr>
            <w:pStyle w:val="14"/>
            <w:tabs>
              <w:tab w:val="right" w:leader="dot" w:pos="8296"/>
            </w:tabs>
            <w:ind w:left="600" w:firstLine="0" w:firstLineChars="0"/>
            <w:rPr>
              <w:rFonts w:ascii="仿宋" w:hAnsi="仿宋"/>
              <w:sz w:val="28"/>
              <w:szCs w:val="28"/>
            </w:rPr>
          </w:pPr>
          <w:r>
            <w:fldChar w:fldCharType="begin"/>
          </w:r>
          <w:r>
            <w:instrText xml:space="preserve"> HYPERLINK \l "_Toc125886590" </w:instrText>
          </w:r>
          <w:r>
            <w:fldChar w:fldCharType="separate"/>
          </w:r>
          <w:r>
            <w:rPr>
              <w:rStyle w:val="20"/>
              <w:rFonts w:hint="eastAsia" w:ascii="仿宋" w:hAnsi="仿宋"/>
              <w:sz w:val="28"/>
              <w:szCs w:val="28"/>
            </w:rPr>
            <w:t>五、编制依据</w:t>
          </w:r>
          <w:r>
            <w:rPr>
              <w:rFonts w:ascii="仿宋" w:hAnsi="仿宋"/>
              <w:sz w:val="28"/>
              <w:szCs w:val="28"/>
            </w:rPr>
            <w:tab/>
          </w:r>
          <w:r>
            <w:rPr>
              <w:rFonts w:ascii="仿宋" w:hAnsi="仿宋"/>
              <w:sz w:val="28"/>
              <w:szCs w:val="28"/>
            </w:rPr>
            <w:fldChar w:fldCharType="begin"/>
          </w:r>
          <w:r>
            <w:rPr>
              <w:rFonts w:ascii="仿宋" w:hAnsi="仿宋"/>
              <w:sz w:val="28"/>
              <w:szCs w:val="28"/>
            </w:rPr>
            <w:instrText xml:space="preserve"> PAGEREF _Toc125886590 \h </w:instrText>
          </w:r>
          <w:r>
            <w:rPr>
              <w:rFonts w:ascii="仿宋" w:hAnsi="仿宋"/>
              <w:sz w:val="28"/>
              <w:szCs w:val="28"/>
            </w:rPr>
            <w:fldChar w:fldCharType="separate"/>
          </w:r>
          <w:r>
            <w:rPr>
              <w:rFonts w:ascii="仿宋" w:hAnsi="仿宋"/>
              <w:sz w:val="28"/>
              <w:szCs w:val="28"/>
            </w:rPr>
            <w:t>4</w:t>
          </w:r>
          <w:r>
            <w:rPr>
              <w:rFonts w:ascii="仿宋" w:hAnsi="仿宋"/>
              <w:sz w:val="28"/>
              <w:szCs w:val="28"/>
            </w:rPr>
            <w:fldChar w:fldCharType="end"/>
          </w:r>
          <w:r>
            <w:rPr>
              <w:rFonts w:ascii="仿宋" w:hAnsi="仿宋"/>
              <w:sz w:val="28"/>
              <w:szCs w:val="28"/>
            </w:rPr>
            <w:fldChar w:fldCharType="end"/>
          </w:r>
        </w:p>
        <w:p w14:paraId="6B776C56">
          <w:pPr>
            <w:pStyle w:val="14"/>
            <w:tabs>
              <w:tab w:val="right" w:leader="dot" w:pos="8296"/>
            </w:tabs>
            <w:ind w:left="600" w:firstLine="0" w:firstLineChars="0"/>
            <w:rPr>
              <w:rFonts w:ascii="仿宋" w:hAnsi="仿宋"/>
              <w:sz w:val="28"/>
              <w:szCs w:val="28"/>
            </w:rPr>
          </w:pPr>
          <w:r>
            <w:fldChar w:fldCharType="begin"/>
          </w:r>
          <w:r>
            <w:instrText xml:space="preserve"> HYPERLINK \l "_Toc125886591" </w:instrText>
          </w:r>
          <w:r>
            <w:fldChar w:fldCharType="separate"/>
          </w:r>
          <w:r>
            <w:rPr>
              <w:rStyle w:val="20"/>
              <w:rFonts w:hint="eastAsia" w:ascii="仿宋" w:hAnsi="仿宋"/>
              <w:sz w:val="28"/>
              <w:szCs w:val="28"/>
            </w:rPr>
            <w:t>六、实施期限与范围</w:t>
          </w:r>
          <w:r>
            <w:rPr>
              <w:rFonts w:ascii="仿宋" w:hAnsi="仿宋"/>
              <w:sz w:val="28"/>
              <w:szCs w:val="28"/>
            </w:rPr>
            <w:tab/>
          </w:r>
          <w:r>
            <w:rPr>
              <w:rFonts w:ascii="仿宋" w:hAnsi="仿宋"/>
              <w:sz w:val="28"/>
              <w:szCs w:val="28"/>
            </w:rPr>
            <w:fldChar w:fldCharType="begin"/>
          </w:r>
          <w:r>
            <w:rPr>
              <w:rFonts w:ascii="仿宋" w:hAnsi="仿宋"/>
              <w:sz w:val="28"/>
              <w:szCs w:val="28"/>
            </w:rPr>
            <w:instrText xml:space="preserve"> PAGEREF _Toc125886591 \h </w:instrText>
          </w:r>
          <w:r>
            <w:rPr>
              <w:rFonts w:ascii="仿宋" w:hAnsi="仿宋"/>
              <w:sz w:val="28"/>
              <w:szCs w:val="28"/>
            </w:rPr>
            <w:fldChar w:fldCharType="separate"/>
          </w:r>
          <w:r>
            <w:rPr>
              <w:rFonts w:ascii="仿宋" w:hAnsi="仿宋"/>
              <w:sz w:val="28"/>
              <w:szCs w:val="28"/>
            </w:rPr>
            <w:t>8</w:t>
          </w:r>
          <w:r>
            <w:rPr>
              <w:rFonts w:ascii="仿宋" w:hAnsi="仿宋"/>
              <w:sz w:val="28"/>
              <w:szCs w:val="28"/>
            </w:rPr>
            <w:fldChar w:fldCharType="end"/>
          </w:r>
          <w:r>
            <w:rPr>
              <w:rFonts w:ascii="仿宋" w:hAnsi="仿宋"/>
              <w:sz w:val="28"/>
              <w:szCs w:val="28"/>
            </w:rPr>
            <w:fldChar w:fldCharType="end"/>
          </w:r>
        </w:p>
        <w:p w14:paraId="79289AC0">
          <w:pPr>
            <w:pStyle w:val="13"/>
            <w:tabs>
              <w:tab w:val="right" w:leader="dot" w:pos="8296"/>
            </w:tabs>
            <w:ind w:firstLine="0" w:firstLineChars="0"/>
            <w:rPr>
              <w:rFonts w:ascii="仿宋" w:hAnsi="仿宋"/>
              <w:sz w:val="28"/>
              <w:szCs w:val="28"/>
            </w:rPr>
          </w:pPr>
          <w:r>
            <w:fldChar w:fldCharType="begin"/>
          </w:r>
          <w:r>
            <w:instrText xml:space="preserve"> HYPERLINK \l "_Toc125886592" </w:instrText>
          </w:r>
          <w:r>
            <w:fldChar w:fldCharType="separate"/>
          </w:r>
          <w:r>
            <w:rPr>
              <w:rStyle w:val="20"/>
              <w:rFonts w:hint="eastAsia" w:ascii="仿宋" w:hAnsi="仿宋"/>
              <w:sz w:val="28"/>
              <w:szCs w:val="28"/>
            </w:rPr>
            <w:t>第二章</w:t>
          </w:r>
          <w:r>
            <w:rPr>
              <w:rStyle w:val="20"/>
              <w:rFonts w:ascii="仿宋" w:hAnsi="仿宋"/>
              <w:sz w:val="28"/>
              <w:szCs w:val="28"/>
            </w:rPr>
            <w:t xml:space="preserve"> </w:t>
          </w:r>
          <w:r>
            <w:rPr>
              <w:rStyle w:val="20"/>
              <w:rFonts w:hint="eastAsia" w:ascii="仿宋" w:hAnsi="仿宋"/>
              <w:sz w:val="28"/>
              <w:szCs w:val="28"/>
            </w:rPr>
            <w:t>成片开发基本情况</w:t>
          </w:r>
          <w:r>
            <w:rPr>
              <w:rFonts w:ascii="仿宋" w:hAnsi="仿宋"/>
              <w:sz w:val="28"/>
              <w:szCs w:val="28"/>
            </w:rPr>
            <w:tab/>
          </w:r>
          <w:r>
            <w:rPr>
              <w:rFonts w:ascii="仿宋" w:hAnsi="仿宋"/>
              <w:sz w:val="28"/>
              <w:szCs w:val="28"/>
            </w:rPr>
            <w:fldChar w:fldCharType="begin"/>
          </w:r>
          <w:r>
            <w:rPr>
              <w:rFonts w:ascii="仿宋" w:hAnsi="仿宋"/>
              <w:sz w:val="28"/>
              <w:szCs w:val="28"/>
            </w:rPr>
            <w:instrText xml:space="preserve"> PAGEREF _Toc125886592 \h </w:instrText>
          </w:r>
          <w:r>
            <w:rPr>
              <w:rFonts w:ascii="仿宋" w:hAnsi="仿宋"/>
              <w:sz w:val="28"/>
              <w:szCs w:val="28"/>
            </w:rPr>
            <w:fldChar w:fldCharType="separate"/>
          </w:r>
          <w:r>
            <w:rPr>
              <w:rFonts w:ascii="仿宋" w:hAnsi="仿宋"/>
              <w:sz w:val="28"/>
              <w:szCs w:val="28"/>
            </w:rPr>
            <w:t>9</w:t>
          </w:r>
          <w:r>
            <w:rPr>
              <w:rFonts w:ascii="仿宋" w:hAnsi="仿宋"/>
              <w:sz w:val="28"/>
              <w:szCs w:val="28"/>
            </w:rPr>
            <w:fldChar w:fldCharType="end"/>
          </w:r>
          <w:r>
            <w:rPr>
              <w:rFonts w:ascii="仿宋" w:hAnsi="仿宋"/>
              <w:sz w:val="28"/>
              <w:szCs w:val="28"/>
            </w:rPr>
            <w:fldChar w:fldCharType="end"/>
          </w:r>
        </w:p>
        <w:p w14:paraId="608F4DF9">
          <w:pPr>
            <w:pStyle w:val="14"/>
            <w:tabs>
              <w:tab w:val="right" w:leader="dot" w:pos="8296"/>
            </w:tabs>
            <w:ind w:left="600" w:firstLine="0" w:firstLineChars="0"/>
            <w:rPr>
              <w:rFonts w:ascii="仿宋" w:hAnsi="仿宋"/>
              <w:sz w:val="28"/>
              <w:szCs w:val="28"/>
            </w:rPr>
          </w:pPr>
          <w:r>
            <w:fldChar w:fldCharType="begin"/>
          </w:r>
          <w:r>
            <w:instrText xml:space="preserve"> HYPERLINK \l "_Toc125886593" </w:instrText>
          </w:r>
          <w:r>
            <w:fldChar w:fldCharType="separate"/>
          </w:r>
          <w:r>
            <w:rPr>
              <w:rStyle w:val="20"/>
              <w:rFonts w:hint="eastAsia" w:ascii="仿宋" w:hAnsi="仿宋"/>
              <w:sz w:val="28"/>
              <w:szCs w:val="28"/>
              <w:shd w:val="clear" w:color="auto" w:fill="FFFFFF"/>
            </w:rPr>
            <w:t>一、成片开发基本情况</w:t>
          </w:r>
          <w:r>
            <w:rPr>
              <w:rFonts w:ascii="仿宋" w:hAnsi="仿宋"/>
              <w:sz w:val="28"/>
              <w:szCs w:val="28"/>
            </w:rPr>
            <w:tab/>
          </w:r>
          <w:r>
            <w:rPr>
              <w:rFonts w:ascii="仿宋" w:hAnsi="仿宋"/>
              <w:sz w:val="28"/>
              <w:szCs w:val="28"/>
            </w:rPr>
            <w:fldChar w:fldCharType="begin"/>
          </w:r>
          <w:r>
            <w:rPr>
              <w:rFonts w:ascii="仿宋" w:hAnsi="仿宋"/>
              <w:sz w:val="28"/>
              <w:szCs w:val="28"/>
            </w:rPr>
            <w:instrText xml:space="preserve"> PAGEREF _Toc125886593 \h </w:instrText>
          </w:r>
          <w:r>
            <w:rPr>
              <w:rFonts w:ascii="仿宋" w:hAnsi="仿宋"/>
              <w:sz w:val="28"/>
              <w:szCs w:val="28"/>
            </w:rPr>
            <w:fldChar w:fldCharType="separate"/>
          </w:r>
          <w:r>
            <w:rPr>
              <w:rFonts w:ascii="仿宋" w:hAnsi="仿宋"/>
              <w:sz w:val="28"/>
              <w:szCs w:val="28"/>
            </w:rPr>
            <w:t>9</w:t>
          </w:r>
          <w:r>
            <w:rPr>
              <w:rFonts w:ascii="仿宋" w:hAnsi="仿宋"/>
              <w:sz w:val="28"/>
              <w:szCs w:val="28"/>
            </w:rPr>
            <w:fldChar w:fldCharType="end"/>
          </w:r>
          <w:r>
            <w:rPr>
              <w:rFonts w:ascii="仿宋" w:hAnsi="仿宋"/>
              <w:sz w:val="28"/>
              <w:szCs w:val="28"/>
            </w:rPr>
            <w:fldChar w:fldCharType="end"/>
          </w:r>
        </w:p>
        <w:p w14:paraId="74DCDE53">
          <w:pPr>
            <w:pStyle w:val="9"/>
            <w:tabs>
              <w:tab w:val="right" w:leader="dot" w:pos="8296"/>
            </w:tabs>
            <w:ind w:left="1200" w:firstLine="0" w:firstLineChars="0"/>
            <w:rPr>
              <w:rFonts w:ascii="仿宋" w:hAnsi="仿宋"/>
              <w:sz w:val="28"/>
              <w:szCs w:val="28"/>
            </w:rPr>
          </w:pPr>
          <w:r>
            <w:fldChar w:fldCharType="begin"/>
          </w:r>
          <w:r>
            <w:instrText xml:space="preserve"> HYPERLINK \l "_Toc125886594" </w:instrText>
          </w:r>
          <w:r>
            <w:fldChar w:fldCharType="separate"/>
          </w:r>
          <w:r>
            <w:rPr>
              <w:rStyle w:val="20"/>
              <w:rFonts w:hint="eastAsia" w:ascii="仿宋" w:hAnsi="仿宋"/>
              <w:sz w:val="28"/>
              <w:szCs w:val="28"/>
            </w:rPr>
            <w:t>（一）成片开发的位置、范围</w:t>
          </w:r>
          <w:r>
            <w:rPr>
              <w:rFonts w:ascii="仿宋" w:hAnsi="仿宋"/>
              <w:sz w:val="28"/>
              <w:szCs w:val="28"/>
            </w:rPr>
            <w:tab/>
          </w:r>
          <w:r>
            <w:rPr>
              <w:rFonts w:ascii="仿宋" w:hAnsi="仿宋"/>
              <w:sz w:val="28"/>
              <w:szCs w:val="28"/>
            </w:rPr>
            <w:fldChar w:fldCharType="begin"/>
          </w:r>
          <w:r>
            <w:rPr>
              <w:rFonts w:ascii="仿宋" w:hAnsi="仿宋"/>
              <w:sz w:val="28"/>
              <w:szCs w:val="28"/>
            </w:rPr>
            <w:instrText xml:space="preserve"> PAGEREF _Toc125886594 \h </w:instrText>
          </w:r>
          <w:r>
            <w:rPr>
              <w:rFonts w:ascii="仿宋" w:hAnsi="仿宋"/>
              <w:sz w:val="28"/>
              <w:szCs w:val="28"/>
            </w:rPr>
            <w:fldChar w:fldCharType="separate"/>
          </w:r>
          <w:r>
            <w:rPr>
              <w:rFonts w:ascii="仿宋" w:hAnsi="仿宋"/>
              <w:sz w:val="28"/>
              <w:szCs w:val="28"/>
            </w:rPr>
            <w:t>9</w:t>
          </w:r>
          <w:r>
            <w:rPr>
              <w:rFonts w:ascii="仿宋" w:hAnsi="仿宋"/>
              <w:sz w:val="28"/>
              <w:szCs w:val="28"/>
            </w:rPr>
            <w:fldChar w:fldCharType="end"/>
          </w:r>
          <w:r>
            <w:rPr>
              <w:rFonts w:ascii="仿宋" w:hAnsi="仿宋"/>
              <w:sz w:val="28"/>
              <w:szCs w:val="28"/>
            </w:rPr>
            <w:fldChar w:fldCharType="end"/>
          </w:r>
        </w:p>
        <w:p w14:paraId="6975399C">
          <w:pPr>
            <w:pStyle w:val="13"/>
            <w:tabs>
              <w:tab w:val="right" w:leader="dot" w:pos="8296"/>
            </w:tabs>
            <w:ind w:firstLine="0" w:firstLineChars="0"/>
            <w:rPr>
              <w:rFonts w:ascii="仿宋" w:hAnsi="仿宋"/>
              <w:sz w:val="28"/>
              <w:szCs w:val="28"/>
            </w:rPr>
          </w:pPr>
          <w:r>
            <w:fldChar w:fldCharType="begin"/>
          </w:r>
          <w:r>
            <w:instrText xml:space="preserve"> HYPERLINK \l "_Toc125886595" </w:instrText>
          </w:r>
          <w:r>
            <w:fldChar w:fldCharType="separate"/>
          </w:r>
          <w:r>
            <w:rPr>
              <w:rStyle w:val="20"/>
              <w:rFonts w:hint="eastAsia" w:ascii="仿宋" w:hAnsi="仿宋"/>
              <w:sz w:val="28"/>
              <w:szCs w:val="28"/>
            </w:rPr>
            <w:t>第三章</w:t>
          </w:r>
          <w:r>
            <w:rPr>
              <w:rStyle w:val="20"/>
              <w:rFonts w:ascii="仿宋" w:hAnsi="仿宋"/>
              <w:sz w:val="28"/>
              <w:szCs w:val="28"/>
            </w:rPr>
            <w:t xml:space="preserve"> </w:t>
          </w:r>
          <w:r>
            <w:rPr>
              <w:rStyle w:val="20"/>
              <w:rFonts w:hint="eastAsia" w:ascii="仿宋" w:hAnsi="仿宋"/>
              <w:sz w:val="28"/>
              <w:szCs w:val="28"/>
            </w:rPr>
            <w:t>实施保障措施</w:t>
          </w:r>
          <w:r>
            <w:rPr>
              <w:rFonts w:ascii="仿宋" w:hAnsi="仿宋"/>
              <w:sz w:val="28"/>
              <w:szCs w:val="28"/>
            </w:rPr>
            <w:tab/>
          </w:r>
          <w:r>
            <w:rPr>
              <w:rFonts w:ascii="仿宋" w:hAnsi="仿宋"/>
              <w:sz w:val="28"/>
              <w:szCs w:val="28"/>
            </w:rPr>
            <w:fldChar w:fldCharType="begin"/>
          </w:r>
          <w:r>
            <w:rPr>
              <w:rFonts w:ascii="仿宋" w:hAnsi="仿宋"/>
              <w:sz w:val="28"/>
              <w:szCs w:val="28"/>
            </w:rPr>
            <w:instrText xml:space="preserve"> PAGEREF _Toc125886595 \h </w:instrText>
          </w:r>
          <w:r>
            <w:rPr>
              <w:rFonts w:ascii="仿宋" w:hAnsi="仿宋"/>
              <w:sz w:val="28"/>
              <w:szCs w:val="28"/>
            </w:rPr>
            <w:fldChar w:fldCharType="separate"/>
          </w:r>
          <w:r>
            <w:rPr>
              <w:rFonts w:ascii="仿宋" w:hAnsi="仿宋"/>
              <w:sz w:val="28"/>
              <w:szCs w:val="28"/>
            </w:rPr>
            <w:t>17</w:t>
          </w:r>
          <w:r>
            <w:rPr>
              <w:rFonts w:ascii="仿宋" w:hAnsi="仿宋"/>
              <w:sz w:val="28"/>
              <w:szCs w:val="28"/>
            </w:rPr>
            <w:fldChar w:fldCharType="end"/>
          </w:r>
          <w:r>
            <w:rPr>
              <w:rFonts w:ascii="仿宋" w:hAnsi="仿宋"/>
              <w:sz w:val="28"/>
              <w:szCs w:val="28"/>
            </w:rPr>
            <w:fldChar w:fldCharType="end"/>
          </w:r>
        </w:p>
        <w:p w14:paraId="79BA9546">
          <w:pPr>
            <w:pStyle w:val="14"/>
            <w:tabs>
              <w:tab w:val="right" w:leader="dot" w:pos="8296"/>
            </w:tabs>
            <w:ind w:left="600" w:firstLine="0" w:firstLineChars="0"/>
            <w:rPr>
              <w:rFonts w:ascii="仿宋" w:hAnsi="仿宋"/>
              <w:sz w:val="28"/>
              <w:szCs w:val="28"/>
            </w:rPr>
          </w:pPr>
          <w:r>
            <w:fldChar w:fldCharType="begin"/>
          </w:r>
          <w:r>
            <w:instrText xml:space="preserve"> HYPERLINK \l "_Toc125886596" </w:instrText>
          </w:r>
          <w:r>
            <w:fldChar w:fldCharType="separate"/>
          </w:r>
          <w:r>
            <w:rPr>
              <w:rStyle w:val="20"/>
              <w:rFonts w:hint="eastAsia" w:ascii="仿宋" w:hAnsi="仿宋"/>
              <w:sz w:val="28"/>
              <w:szCs w:val="28"/>
            </w:rPr>
            <w:t>一、组织保障</w:t>
          </w:r>
          <w:r>
            <w:rPr>
              <w:rFonts w:ascii="仿宋" w:hAnsi="仿宋"/>
              <w:sz w:val="28"/>
              <w:szCs w:val="28"/>
            </w:rPr>
            <w:tab/>
          </w:r>
          <w:r>
            <w:rPr>
              <w:rFonts w:ascii="仿宋" w:hAnsi="仿宋"/>
              <w:sz w:val="28"/>
              <w:szCs w:val="28"/>
            </w:rPr>
            <w:fldChar w:fldCharType="begin"/>
          </w:r>
          <w:r>
            <w:rPr>
              <w:rFonts w:ascii="仿宋" w:hAnsi="仿宋"/>
              <w:sz w:val="28"/>
              <w:szCs w:val="28"/>
            </w:rPr>
            <w:instrText xml:space="preserve"> PAGEREF _Toc125886596 \h </w:instrText>
          </w:r>
          <w:r>
            <w:rPr>
              <w:rFonts w:ascii="仿宋" w:hAnsi="仿宋"/>
              <w:sz w:val="28"/>
              <w:szCs w:val="28"/>
            </w:rPr>
            <w:fldChar w:fldCharType="separate"/>
          </w:r>
          <w:r>
            <w:rPr>
              <w:rFonts w:ascii="仿宋" w:hAnsi="仿宋"/>
              <w:sz w:val="28"/>
              <w:szCs w:val="28"/>
            </w:rPr>
            <w:t>17</w:t>
          </w:r>
          <w:r>
            <w:rPr>
              <w:rFonts w:ascii="仿宋" w:hAnsi="仿宋"/>
              <w:sz w:val="28"/>
              <w:szCs w:val="28"/>
            </w:rPr>
            <w:fldChar w:fldCharType="end"/>
          </w:r>
          <w:r>
            <w:rPr>
              <w:rFonts w:ascii="仿宋" w:hAnsi="仿宋"/>
              <w:sz w:val="28"/>
              <w:szCs w:val="28"/>
            </w:rPr>
            <w:fldChar w:fldCharType="end"/>
          </w:r>
        </w:p>
        <w:p w14:paraId="3A9EF245">
          <w:pPr>
            <w:pStyle w:val="14"/>
            <w:tabs>
              <w:tab w:val="right" w:leader="dot" w:pos="8296"/>
            </w:tabs>
            <w:ind w:left="600" w:firstLine="0" w:firstLineChars="0"/>
            <w:rPr>
              <w:rFonts w:ascii="仿宋" w:hAnsi="仿宋"/>
              <w:sz w:val="28"/>
              <w:szCs w:val="28"/>
            </w:rPr>
          </w:pPr>
          <w:r>
            <w:fldChar w:fldCharType="begin"/>
          </w:r>
          <w:r>
            <w:instrText xml:space="preserve"> HYPERLINK \l "_Toc125886597" </w:instrText>
          </w:r>
          <w:r>
            <w:fldChar w:fldCharType="separate"/>
          </w:r>
          <w:r>
            <w:rPr>
              <w:rStyle w:val="20"/>
              <w:rFonts w:hint="eastAsia" w:ascii="仿宋" w:hAnsi="仿宋"/>
              <w:sz w:val="28"/>
              <w:szCs w:val="28"/>
            </w:rPr>
            <w:t>二、政策保障</w:t>
          </w:r>
          <w:r>
            <w:rPr>
              <w:rFonts w:ascii="仿宋" w:hAnsi="仿宋"/>
              <w:sz w:val="28"/>
              <w:szCs w:val="28"/>
            </w:rPr>
            <w:tab/>
          </w:r>
          <w:r>
            <w:rPr>
              <w:rFonts w:ascii="仿宋" w:hAnsi="仿宋"/>
              <w:sz w:val="28"/>
              <w:szCs w:val="28"/>
            </w:rPr>
            <w:fldChar w:fldCharType="begin"/>
          </w:r>
          <w:r>
            <w:rPr>
              <w:rFonts w:ascii="仿宋" w:hAnsi="仿宋"/>
              <w:sz w:val="28"/>
              <w:szCs w:val="28"/>
            </w:rPr>
            <w:instrText xml:space="preserve"> PAGEREF _Toc125886597 \h </w:instrText>
          </w:r>
          <w:r>
            <w:rPr>
              <w:rFonts w:ascii="仿宋" w:hAnsi="仿宋"/>
              <w:sz w:val="28"/>
              <w:szCs w:val="28"/>
            </w:rPr>
            <w:fldChar w:fldCharType="separate"/>
          </w:r>
          <w:r>
            <w:rPr>
              <w:rFonts w:ascii="仿宋" w:hAnsi="仿宋"/>
              <w:sz w:val="28"/>
              <w:szCs w:val="28"/>
            </w:rPr>
            <w:t>17</w:t>
          </w:r>
          <w:r>
            <w:rPr>
              <w:rFonts w:ascii="仿宋" w:hAnsi="仿宋"/>
              <w:sz w:val="28"/>
              <w:szCs w:val="28"/>
            </w:rPr>
            <w:fldChar w:fldCharType="end"/>
          </w:r>
          <w:r>
            <w:rPr>
              <w:rFonts w:ascii="仿宋" w:hAnsi="仿宋"/>
              <w:sz w:val="28"/>
              <w:szCs w:val="28"/>
            </w:rPr>
            <w:fldChar w:fldCharType="end"/>
          </w:r>
        </w:p>
        <w:p w14:paraId="08ACCDF7">
          <w:pPr>
            <w:pStyle w:val="14"/>
            <w:tabs>
              <w:tab w:val="right" w:leader="dot" w:pos="8296"/>
            </w:tabs>
            <w:ind w:left="600" w:firstLine="0" w:firstLineChars="0"/>
            <w:rPr>
              <w:rFonts w:ascii="仿宋" w:hAnsi="仿宋"/>
              <w:sz w:val="28"/>
              <w:szCs w:val="28"/>
            </w:rPr>
          </w:pPr>
          <w:r>
            <w:fldChar w:fldCharType="begin"/>
          </w:r>
          <w:r>
            <w:instrText xml:space="preserve"> HYPERLINK \l "_Toc125886598" </w:instrText>
          </w:r>
          <w:r>
            <w:fldChar w:fldCharType="separate"/>
          </w:r>
          <w:r>
            <w:rPr>
              <w:rStyle w:val="20"/>
              <w:rFonts w:hint="eastAsia" w:ascii="仿宋" w:hAnsi="仿宋"/>
              <w:sz w:val="28"/>
              <w:szCs w:val="28"/>
            </w:rPr>
            <w:t>三、征收程序保障</w:t>
          </w:r>
          <w:r>
            <w:rPr>
              <w:rFonts w:ascii="仿宋" w:hAnsi="仿宋"/>
              <w:sz w:val="28"/>
              <w:szCs w:val="28"/>
            </w:rPr>
            <w:tab/>
          </w:r>
          <w:r>
            <w:rPr>
              <w:rFonts w:ascii="仿宋" w:hAnsi="仿宋"/>
              <w:sz w:val="28"/>
              <w:szCs w:val="28"/>
            </w:rPr>
            <w:fldChar w:fldCharType="begin"/>
          </w:r>
          <w:r>
            <w:rPr>
              <w:rFonts w:ascii="仿宋" w:hAnsi="仿宋"/>
              <w:sz w:val="28"/>
              <w:szCs w:val="28"/>
            </w:rPr>
            <w:instrText xml:space="preserve"> PAGEREF _Toc125886598 \h </w:instrText>
          </w:r>
          <w:r>
            <w:rPr>
              <w:rFonts w:ascii="仿宋" w:hAnsi="仿宋"/>
              <w:sz w:val="28"/>
              <w:szCs w:val="28"/>
            </w:rPr>
            <w:fldChar w:fldCharType="separate"/>
          </w:r>
          <w:r>
            <w:rPr>
              <w:rFonts w:ascii="仿宋" w:hAnsi="仿宋"/>
              <w:sz w:val="28"/>
              <w:szCs w:val="28"/>
            </w:rPr>
            <w:t>18</w:t>
          </w:r>
          <w:r>
            <w:rPr>
              <w:rFonts w:ascii="仿宋" w:hAnsi="仿宋"/>
              <w:sz w:val="28"/>
              <w:szCs w:val="28"/>
            </w:rPr>
            <w:fldChar w:fldCharType="end"/>
          </w:r>
          <w:r>
            <w:rPr>
              <w:rFonts w:ascii="仿宋" w:hAnsi="仿宋"/>
              <w:sz w:val="28"/>
              <w:szCs w:val="28"/>
            </w:rPr>
            <w:fldChar w:fldCharType="end"/>
          </w:r>
        </w:p>
        <w:p w14:paraId="400DA354">
          <w:pPr>
            <w:pStyle w:val="14"/>
            <w:tabs>
              <w:tab w:val="right" w:leader="dot" w:pos="8296"/>
            </w:tabs>
            <w:ind w:left="600" w:firstLine="0" w:firstLineChars="0"/>
            <w:rPr>
              <w:rFonts w:ascii="仿宋" w:hAnsi="仿宋"/>
              <w:sz w:val="28"/>
              <w:szCs w:val="28"/>
            </w:rPr>
          </w:pPr>
          <w:r>
            <w:fldChar w:fldCharType="begin"/>
          </w:r>
          <w:r>
            <w:instrText xml:space="preserve"> HYPERLINK \l "_Toc125886599" </w:instrText>
          </w:r>
          <w:r>
            <w:fldChar w:fldCharType="separate"/>
          </w:r>
          <w:r>
            <w:rPr>
              <w:rStyle w:val="20"/>
              <w:rFonts w:hint="eastAsia" w:ascii="仿宋" w:hAnsi="仿宋"/>
              <w:sz w:val="28"/>
              <w:szCs w:val="28"/>
            </w:rPr>
            <w:t>四、经费保障</w:t>
          </w:r>
          <w:r>
            <w:rPr>
              <w:rFonts w:ascii="仿宋" w:hAnsi="仿宋"/>
              <w:sz w:val="28"/>
              <w:szCs w:val="28"/>
            </w:rPr>
            <w:tab/>
          </w:r>
          <w:r>
            <w:rPr>
              <w:rFonts w:ascii="仿宋" w:hAnsi="仿宋"/>
              <w:sz w:val="28"/>
              <w:szCs w:val="28"/>
            </w:rPr>
            <w:fldChar w:fldCharType="begin"/>
          </w:r>
          <w:r>
            <w:rPr>
              <w:rFonts w:ascii="仿宋" w:hAnsi="仿宋"/>
              <w:sz w:val="28"/>
              <w:szCs w:val="28"/>
            </w:rPr>
            <w:instrText xml:space="preserve"> PAGEREF _Toc125886599 \h </w:instrText>
          </w:r>
          <w:r>
            <w:rPr>
              <w:rFonts w:ascii="仿宋" w:hAnsi="仿宋"/>
              <w:sz w:val="28"/>
              <w:szCs w:val="28"/>
            </w:rPr>
            <w:fldChar w:fldCharType="separate"/>
          </w:r>
          <w:r>
            <w:rPr>
              <w:rFonts w:ascii="仿宋" w:hAnsi="仿宋"/>
              <w:sz w:val="28"/>
              <w:szCs w:val="28"/>
            </w:rPr>
            <w:t>20</w:t>
          </w:r>
          <w:r>
            <w:rPr>
              <w:rFonts w:ascii="仿宋" w:hAnsi="仿宋"/>
              <w:sz w:val="28"/>
              <w:szCs w:val="28"/>
            </w:rPr>
            <w:fldChar w:fldCharType="end"/>
          </w:r>
          <w:r>
            <w:rPr>
              <w:rFonts w:ascii="仿宋" w:hAnsi="仿宋"/>
              <w:sz w:val="28"/>
              <w:szCs w:val="28"/>
            </w:rPr>
            <w:fldChar w:fldCharType="end"/>
          </w:r>
        </w:p>
        <w:p w14:paraId="42721F52">
          <w:pPr>
            <w:pStyle w:val="14"/>
            <w:tabs>
              <w:tab w:val="right" w:leader="dot" w:pos="8296"/>
            </w:tabs>
            <w:ind w:left="600" w:firstLine="0" w:firstLineChars="0"/>
            <w:rPr>
              <w:rFonts w:ascii="仿宋" w:hAnsi="仿宋"/>
              <w:sz w:val="28"/>
              <w:szCs w:val="28"/>
            </w:rPr>
          </w:pPr>
          <w:r>
            <w:fldChar w:fldCharType="begin"/>
          </w:r>
          <w:r>
            <w:instrText xml:space="preserve"> HYPERLINK \l "_Toc125886600" </w:instrText>
          </w:r>
          <w:r>
            <w:fldChar w:fldCharType="separate"/>
          </w:r>
          <w:r>
            <w:rPr>
              <w:rStyle w:val="20"/>
              <w:rFonts w:hint="eastAsia" w:ascii="仿宋" w:hAnsi="仿宋"/>
              <w:sz w:val="28"/>
              <w:szCs w:val="28"/>
            </w:rPr>
            <w:t>五、农民利益保障</w:t>
          </w:r>
          <w:r>
            <w:rPr>
              <w:rFonts w:ascii="仿宋" w:hAnsi="仿宋"/>
              <w:sz w:val="28"/>
              <w:szCs w:val="28"/>
            </w:rPr>
            <w:tab/>
          </w:r>
          <w:r>
            <w:rPr>
              <w:rFonts w:ascii="仿宋" w:hAnsi="仿宋"/>
              <w:sz w:val="28"/>
              <w:szCs w:val="28"/>
            </w:rPr>
            <w:fldChar w:fldCharType="begin"/>
          </w:r>
          <w:r>
            <w:rPr>
              <w:rFonts w:ascii="仿宋" w:hAnsi="仿宋"/>
              <w:sz w:val="28"/>
              <w:szCs w:val="28"/>
            </w:rPr>
            <w:instrText xml:space="preserve"> PAGEREF _Toc125886600 \h </w:instrText>
          </w:r>
          <w:r>
            <w:rPr>
              <w:rFonts w:ascii="仿宋" w:hAnsi="仿宋"/>
              <w:sz w:val="28"/>
              <w:szCs w:val="28"/>
            </w:rPr>
            <w:fldChar w:fldCharType="separate"/>
          </w:r>
          <w:r>
            <w:rPr>
              <w:rFonts w:ascii="仿宋" w:hAnsi="仿宋"/>
              <w:sz w:val="28"/>
              <w:szCs w:val="28"/>
            </w:rPr>
            <w:t>21</w:t>
          </w:r>
          <w:r>
            <w:rPr>
              <w:rFonts w:ascii="仿宋" w:hAnsi="仿宋"/>
              <w:sz w:val="28"/>
              <w:szCs w:val="28"/>
            </w:rPr>
            <w:fldChar w:fldCharType="end"/>
          </w:r>
          <w:r>
            <w:rPr>
              <w:rFonts w:ascii="仿宋" w:hAnsi="仿宋"/>
              <w:sz w:val="28"/>
              <w:szCs w:val="28"/>
            </w:rPr>
            <w:fldChar w:fldCharType="end"/>
          </w:r>
        </w:p>
        <w:p w14:paraId="71935195">
          <w:pPr>
            <w:pStyle w:val="13"/>
            <w:tabs>
              <w:tab w:val="right" w:leader="dot" w:pos="8296"/>
            </w:tabs>
            <w:ind w:firstLine="0" w:firstLineChars="0"/>
            <w:rPr>
              <w:rFonts w:ascii="仿宋" w:hAnsi="仿宋"/>
              <w:sz w:val="28"/>
              <w:szCs w:val="28"/>
            </w:rPr>
          </w:pPr>
          <w:r>
            <w:fldChar w:fldCharType="begin"/>
          </w:r>
          <w:r>
            <w:instrText xml:space="preserve"> HYPERLINK \l "_Toc125886601" </w:instrText>
          </w:r>
          <w:r>
            <w:fldChar w:fldCharType="separate"/>
          </w:r>
          <w:r>
            <w:rPr>
              <w:rStyle w:val="20"/>
              <w:rFonts w:hint="eastAsia" w:ascii="仿宋" w:hAnsi="仿宋"/>
              <w:sz w:val="28"/>
              <w:szCs w:val="28"/>
            </w:rPr>
            <w:t>第四章</w:t>
          </w:r>
          <w:r>
            <w:rPr>
              <w:rStyle w:val="20"/>
              <w:rFonts w:ascii="仿宋" w:hAnsi="仿宋"/>
              <w:sz w:val="28"/>
              <w:szCs w:val="28"/>
            </w:rPr>
            <w:t xml:space="preserve"> </w:t>
          </w:r>
          <w:r>
            <w:rPr>
              <w:rStyle w:val="20"/>
              <w:rFonts w:hint="eastAsia" w:ascii="仿宋" w:hAnsi="仿宋"/>
              <w:sz w:val="28"/>
              <w:szCs w:val="28"/>
            </w:rPr>
            <w:t>结论</w:t>
          </w:r>
          <w:r>
            <w:rPr>
              <w:rFonts w:ascii="仿宋" w:hAnsi="仿宋"/>
              <w:sz w:val="28"/>
              <w:szCs w:val="28"/>
            </w:rPr>
            <w:tab/>
          </w:r>
          <w:r>
            <w:rPr>
              <w:rFonts w:ascii="仿宋" w:hAnsi="仿宋"/>
              <w:sz w:val="28"/>
              <w:szCs w:val="28"/>
            </w:rPr>
            <w:fldChar w:fldCharType="begin"/>
          </w:r>
          <w:r>
            <w:rPr>
              <w:rFonts w:ascii="仿宋" w:hAnsi="仿宋"/>
              <w:sz w:val="28"/>
              <w:szCs w:val="28"/>
            </w:rPr>
            <w:instrText xml:space="preserve"> PAGEREF _Toc125886601 \h </w:instrText>
          </w:r>
          <w:r>
            <w:rPr>
              <w:rFonts w:ascii="仿宋" w:hAnsi="仿宋"/>
              <w:sz w:val="28"/>
              <w:szCs w:val="28"/>
            </w:rPr>
            <w:fldChar w:fldCharType="separate"/>
          </w:r>
          <w:r>
            <w:rPr>
              <w:rFonts w:ascii="仿宋" w:hAnsi="仿宋"/>
              <w:sz w:val="28"/>
              <w:szCs w:val="28"/>
            </w:rPr>
            <w:t>23</w:t>
          </w:r>
          <w:r>
            <w:rPr>
              <w:rFonts w:ascii="仿宋" w:hAnsi="仿宋"/>
              <w:sz w:val="28"/>
              <w:szCs w:val="28"/>
            </w:rPr>
            <w:fldChar w:fldCharType="end"/>
          </w:r>
          <w:r>
            <w:rPr>
              <w:rFonts w:ascii="仿宋" w:hAnsi="仿宋"/>
              <w:sz w:val="28"/>
              <w:szCs w:val="28"/>
            </w:rPr>
            <w:fldChar w:fldCharType="end"/>
          </w:r>
        </w:p>
        <w:p w14:paraId="0C04290D">
          <w:pPr>
            <w:ind w:firstLine="0" w:firstLineChars="0"/>
            <w:jc w:val="left"/>
            <w:rPr>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408" w:charSpace="0"/>
            </w:sectPr>
          </w:pPr>
          <w:r>
            <w:rPr>
              <w:szCs w:val="36"/>
            </w:rPr>
            <w:fldChar w:fldCharType="end"/>
          </w:r>
        </w:p>
      </w:sdtContent>
    </w:sdt>
    <w:p w14:paraId="47F3CBF3">
      <w:pPr>
        <w:pStyle w:val="2"/>
      </w:pPr>
      <w:bookmarkStart w:id="6" w:name="_Toc125886585"/>
      <w:r>
        <w:t>第一章</w:t>
      </w:r>
      <w:r>
        <w:rPr>
          <w:rFonts w:hint="eastAsia"/>
        </w:rPr>
        <w:t xml:space="preserve"> 总则</w:t>
      </w:r>
      <w:bookmarkEnd w:id="6"/>
    </w:p>
    <w:p w14:paraId="255BF347">
      <w:pPr>
        <w:pStyle w:val="3"/>
        <w:ind w:firstLine="161"/>
      </w:pPr>
      <w:bookmarkStart w:id="7" w:name="_Toc125886586"/>
      <w:r>
        <w:t>一、编制背景</w:t>
      </w:r>
      <w:bookmarkEnd w:id="7"/>
    </w:p>
    <w:p w14:paraId="15C1F8B2">
      <w:pPr>
        <w:ind w:firstLine="600"/>
        <w:rPr>
          <w:rFonts w:ascii="仿宋" w:hAnsi="仿宋"/>
        </w:rPr>
      </w:pPr>
      <w:r>
        <w:rPr>
          <w:rFonts w:hint="eastAsia" w:ascii="仿宋" w:hAnsi="仿宋"/>
        </w:rPr>
        <w:t>土地征收成片开发，是指在国土空间规划确定的城镇开发边界内的集中建设区，由县级以上地方人民政府组织的对一定范围的土地进行的综合性开发建设活动。推进成片开发是土地征收制度的重大改革，是贯彻落实党的十九届五中全会精神和土地管理法的重大制度设计，是规范各级地方政府的土地征收权力、促进土地节约集约开发、维护农民权益、推进集体经营性建设用地入市的重要举措。依据《土地管理法》第</w:t>
      </w:r>
      <w:r>
        <w:rPr>
          <w:rFonts w:ascii="仿宋" w:hAnsi="仿宋"/>
        </w:rPr>
        <w:t xml:space="preserve">45 </w:t>
      </w:r>
      <w:r>
        <w:rPr>
          <w:rFonts w:hint="eastAsia" w:ascii="仿宋" w:hAnsi="仿宋"/>
        </w:rPr>
        <w:t>条（五）规定：为了公共利益的需要，在土地利用总体规划确定的城镇建设用地范围内，经省级以上人民政府批准由县级以上地方人民政府组织实施的成片开发建设需要用地的，确需征收农民集体所有的土地的，可以依法实施征收。按照自然资源部《土地征收成片开发标准（试行）》要求，县级以上地方人民政府应当按照《土地管理法》第</w:t>
      </w:r>
      <w:r>
        <w:rPr>
          <w:rFonts w:ascii="仿宋" w:hAnsi="仿宋"/>
        </w:rPr>
        <w:t xml:space="preserve">45 </w:t>
      </w:r>
      <w:r>
        <w:rPr>
          <w:rFonts w:hint="eastAsia" w:ascii="仿宋" w:hAnsi="仿宋"/>
        </w:rPr>
        <w:t>条规定，依据当地国民经济和社会发展规划、国土空间规划，组织编制土地征收成片开发方案，纳入当地国民经济和社会发展年度计划，并报省级人民政府批准。</w:t>
      </w:r>
    </w:p>
    <w:p w14:paraId="6D0D00C0">
      <w:pPr>
        <w:ind w:firstLine="600"/>
        <w:rPr>
          <w:rFonts w:ascii="仿宋" w:hAnsi="仿宋"/>
        </w:rPr>
      </w:pPr>
      <w:r>
        <w:rPr>
          <w:rFonts w:hint="eastAsia" w:ascii="仿宋" w:hAnsi="仿宋"/>
        </w:rPr>
        <w:t>为贯彻落实《中华人民共和国土地管理法》精神和自然资源部《土地征收成片开发标准（试行）》（自然资规〔</w:t>
      </w:r>
      <w:r>
        <w:rPr>
          <w:rFonts w:ascii="仿宋" w:hAnsi="仿宋"/>
        </w:rPr>
        <w:t>2020</w:t>
      </w:r>
      <w:r>
        <w:rPr>
          <w:rFonts w:hint="eastAsia" w:ascii="仿宋" w:hAnsi="仿宋"/>
        </w:rPr>
        <w:t>〕</w:t>
      </w:r>
      <w:r>
        <w:rPr>
          <w:rFonts w:ascii="仿宋" w:hAnsi="仿宋"/>
        </w:rPr>
        <w:t xml:space="preserve">5 </w:t>
      </w:r>
      <w:r>
        <w:rPr>
          <w:rFonts w:hint="eastAsia" w:ascii="仿宋" w:hAnsi="仿宋"/>
        </w:rPr>
        <w:t>号）等相关要求，在充分保障农民权益，坚持节约集约用地，保障乐平市2023年的产业项目顺利落地，促进土地资源节约、高效利用，促进产业发展，提高居民就业率和提高生活水平的前提下，根据赣府厅〔2021〕2 号文件《江西省人民政府办公厅关于执行土地征收成片开发标准（试行）的指导意见》和赣自然资办发〔2021〕30 号文件《江西省自然资源厅办公室关于印发土地征收成片开发方案审批指南（试行）的通知》的具体要求，乐平市人民政府组织编制了《乐平市土地征收成片开发方案（2023年）》（以下简称“成片开发方案”）。</w:t>
      </w:r>
    </w:p>
    <w:p w14:paraId="7A60764A">
      <w:pPr>
        <w:pStyle w:val="3"/>
        <w:ind w:firstLine="161"/>
      </w:pPr>
      <w:bookmarkStart w:id="8" w:name="_Toc125886587"/>
      <w:r>
        <w:t>二、编制目的</w:t>
      </w:r>
      <w:bookmarkEnd w:id="8"/>
    </w:p>
    <w:p w14:paraId="56406CBA">
      <w:pPr>
        <w:ind w:firstLine="600"/>
      </w:pPr>
      <w:r>
        <w:rPr>
          <w:rFonts w:hint="eastAsia"/>
        </w:rPr>
        <w:t>根据《中华人民共和国土地管理法》、《土地征收成片开发标准（试行）》（自然资规〔2020〕5 号）、《江西省人民政府办公厅关于执行土地征收成片开发标准（试行）的指导意见》（赣府厅发〔2021〕2 号）的相关要求，落实国家和江西省文件精神，通过开展土地征收成片开发工作，合理划定2023年土地征收报批范围，统筹安排公益性用地和非公益性用地，有序安排土地征收报批时序，促进土地集约节约利用，并将其作为农用地转用和土地征收的报批依据，保障农民的合法权益。土地征收成片开发方案编制有利于合理配置区域公益性用地和非公益性用地比例，能够以高标准高规格统一实施成片开发，保障各类公共事业项目的规划建设；有利于充分保障被征收农村集体经济组织和农民的合法权益；有利于落实最严格的耕地保护制度和节约用地制度，充分发挥好土地的综合效益；有利于科学有序安排下一阶段工作，对于进一步实施成片开发工作具有重要指导意义。</w:t>
      </w:r>
    </w:p>
    <w:p w14:paraId="04B985B2">
      <w:pPr>
        <w:pStyle w:val="3"/>
        <w:ind w:firstLine="161"/>
      </w:pPr>
      <w:bookmarkStart w:id="9" w:name="_Toc125886588"/>
      <w:r>
        <w:t>三、指导思想</w:t>
      </w:r>
      <w:bookmarkEnd w:id="9"/>
    </w:p>
    <w:p w14:paraId="3449C148">
      <w:pPr>
        <w:ind w:firstLine="600"/>
      </w:pPr>
      <w:r>
        <w:rPr>
          <w:rFonts w:hint="eastAsia"/>
        </w:rPr>
        <w:t>土地征收成片开发以习近平</w:t>
      </w:r>
      <w:bookmarkStart w:id="23" w:name="_GoBack"/>
      <w:bookmarkEnd w:id="23"/>
      <w:r>
        <w:rPr>
          <w:rFonts w:hint="eastAsia"/>
        </w:rPr>
        <w:t>生态文明思想和新时代中国特色社会主义思想为指导，坚持新发展理念，以人民为中心，注重保护耕地，注重维护农民</w:t>
      </w:r>
      <w:r>
        <w:rPr>
          <w:rFonts w:hint="eastAsia" w:ascii="仿宋" w:hAnsi="仿宋"/>
        </w:rPr>
        <w:t>合法权益，注重节约集约用地，注重生态环境保护，按照《土地管理法》第45条规定，依据当地国民经济和社会发展规划、国土空间规划，科学合理编制“成片开发方案”，明确片区规划定位，统筹产业布局，</w:t>
      </w:r>
      <w:r>
        <w:rPr>
          <w:rFonts w:hint="eastAsia"/>
        </w:rPr>
        <w:t>谋划基础设施、公共服务设施等公益性建设，依法开展土地征收，为当地发展提供有力土地要素保障，从而促进当地经济社会可持续发展。</w:t>
      </w:r>
    </w:p>
    <w:p w14:paraId="6C6F5694">
      <w:pPr>
        <w:pStyle w:val="3"/>
        <w:ind w:firstLine="161"/>
      </w:pPr>
      <w:bookmarkStart w:id="10" w:name="_Toc125886589"/>
      <w:r>
        <w:rPr>
          <w:rFonts w:hint="eastAsia"/>
        </w:rPr>
        <w:t>四</w:t>
      </w:r>
      <w:r>
        <w:t>、编制原则</w:t>
      </w:r>
      <w:bookmarkEnd w:id="10"/>
    </w:p>
    <w:p w14:paraId="285C4C83">
      <w:pPr>
        <w:ind w:firstLine="600"/>
      </w:pPr>
      <w:r>
        <w:rPr>
          <w:rFonts w:hint="eastAsia"/>
        </w:rPr>
        <w:t>1、合依法依规性原则</w:t>
      </w:r>
    </w:p>
    <w:p w14:paraId="3D34C0FF">
      <w:pPr>
        <w:ind w:firstLine="600"/>
      </w:pPr>
      <w:r>
        <w:rPr>
          <w:rFonts w:hint="eastAsia"/>
        </w:rPr>
        <w:t>土地征收成片开发严格执行有关法律法规和政策依据，从严从紧，符合《中华人民</w:t>
      </w:r>
      <w:r>
        <w:rPr>
          <w:rFonts w:hint="eastAsia" w:ascii="仿宋" w:hAnsi="仿宋"/>
        </w:rPr>
        <w:t>共和国土地管理法》、《自然资源部关于印发〈土地征收成片开发标准（试行）〉的通知》（自然资规〔2020〕5号）、《江西省人民政府办公厅关于执行土地征收成片开发标准（试行）的指导意见》（赣府厅发〔2021〕2号）等规</w:t>
      </w:r>
      <w:r>
        <w:rPr>
          <w:rFonts w:hint="eastAsia"/>
        </w:rPr>
        <w:t>定。</w:t>
      </w:r>
    </w:p>
    <w:p w14:paraId="1E0BD5AA">
      <w:pPr>
        <w:ind w:firstLine="600"/>
      </w:pPr>
      <w:r>
        <w:rPr>
          <w:rFonts w:hint="eastAsia"/>
        </w:rPr>
        <w:t>2、体现公益性原则</w:t>
      </w:r>
    </w:p>
    <w:p w14:paraId="3F8C7034">
      <w:pPr>
        <w:ind w:firstLine="600"/>
        <w:rPr>
          <w:rFonts w:ascii="Times New Roman" w:hAnsi="Times New Roman" w:eastAsia="仿宋_GB2312" w:cs="Times New Roman"/>
          <w:color w:val="000000"/>
          <w:kern w:val="0"/>
          <w:szCs w:val="30"/>
        </w:rPr>
      </w:pPr>
      <w:r>
        <w:rPr>
          <w:rFonts w:hint="eastAsia"/>
        </w:rPr>
        <w:t>土地征收成片开发要以人民为中心，为了公共利益的需要，</w:t>
      </w:r>
      <w:r>
        <w:rPr>
          <w:rFonts w:ascii="Times New Roman" w:hAnsi="Times New Roman" w:eastAsia="仿宋_GB2312" w:cs="Times New Roman"/>
          <w:color w:val="000000"/>
          <w:kern w:val="0"/>
          <w:szCs w:val="30"/>
        </w:rPr>
        <w:t>兼顾群众特别是被征地农民合法权益和片区群众长远利益</w:t>
      </w:r>
      <w:r>
        <w:rPr>
          <w:rFonts w:hint="eastAsia"/>
        </w:rPr>
        <w:t>，维护群众合法权益，充分征求成片开发范围内农村集体经济组织和农民的意见。保障成片开发范围内基础设施、公共服务设施以及其他公益性用地的比例。</w:t>
      </w:r>
    </w:p>
    <w:p w14:paraId="5E3C5CE3">
      <w:pPr>
        <w:ind w:firstLine="600"/>
      </w:pPr>
      <w:r>
        <w:rPr>
          <w:rFonts w:hint="eastAsia"/>
        </w:rPr>
        <w:t>3、生态优先、节约集约原则</w:t>
      </w:r>
    </w:p>
    <w:p w14:paraId="011CFB20">
      <w:pPr>
        <w:ind w:firstLine="600"/>
      </w:pPr>
      <w:r>
        <w:rPr>
          <w:rFonts w:hint="eastAsia"/>
        </w:rPr>
        <w:t>土地征收成片开发编制应落实最严格的耕地保护制度，尽量避免占用优质耕地，禁止占用永久基本农田；遵守生态优先、绿色发展，不涉及各类自然保护地、生态红线和城市饮用水源保护地和重要环境敏感区域等，实现集中、集约、集聚高效有序开展，做到开发一片成熟一片，提高土地利用效率。</w:t>
      </w:r>
    </w:p>
    <w:p w14:paraId="265F8437">
      <w:pPr>
        <w:ind w:firstLine="600"/>
      </w:pPr>
      <w:r>
        <w:rPr>
          <w:rFonts w:hint="eastAsia"/>
        </w:rPr>
        <w:t>4、科学合理性原则</w:t>
      </w:r>
    </w:p>
    <w:p w14:paraId="1C8FB7EB">
      <w:pPr>
        <w:ind w:firstLine="600"/>
        <w:rPr>
          <w:rFonts w:ascii="仿宋" w:hAnsi="仿宋"/>
        </w:rPr>
      </w:pPr>
      <w:r>
        <w:rPr>
          <w:rFonts w:hint="eastAsia"/>
        </w:rPr>
        <w:t>土地征收成片开发应当深入贯彻新发展理念，立足城市（镇）的长远发展，根据土地经济规律、社会经济发展和市场需求，统筹兼顾经济效益、社会效益和生态效益，科学合理规划布局，优化资</w:t>
      </w:r>
      <w:r>
        <w:rPr>
          <w:rFonts w:hint="eastAsia" w:ascii="仿宋" w:hAnsi="仿宋"/>
        </w:rPr>
        <w:t>源配置，实现土地资源的高效和可持续利用。通过深度分析和科学论证，确定成片开发的规模和范围。</w:t>
      </w:r>
    </w:p>
    <w:p w14:paraId="5C28E620">
      <w:pPr>
        <w:pStyle w:val="3"/>
        <w:ind w:firstLine="161"/>
        <w:rPr>
          <w:rFonts w:ascii="楷体" w:hAnsi="楷体"/>
        </w:rPr>
      </w:pPr>
      <w:bookmarkStart w:id="11" w:name="_Toc125886590"/>
      <w:r>
        <w:rPr>
          <w:rFonts w:hint="eastAsia" w:ascii="楷体" w:hAnsi="楷体"/>
        </w:rPr>
        <w:t>五、编制依据</w:t>
      </w:r>
      <w:bookmarkEnd w:id="11"/>
    </w:p>
    <w:p w14:paraId="46F42F7A">
      <w:pPr>
        <w:ind w:firstLine="0" w:firstLineChars="0"/>
        <w:rPr>
          <w:rFonts w:ascii="仿宋" w:hAnsi="仿宋"/>
        </w:rPr>
      </w:pPr>
      <w:r>
        <w:rPr>
          <w:rFonts w:hint="eastAsia" w:ascii="仿宋" w:hAnsi="仿宋"/>
        </w:rPr>
        <w:t>（一）法律法规</w:t>
      </w:r>
    </w:p>
    <w:p w14:paraId="73790716">
      <w:pPr>
        <w:ind w:firstLine="0" w:firstLineChars="0"/>
        <w:rPr>
          <w:rFonts w:ascii="仿宋" w:hAnsi="仿宋"/>
        </w:rPr>
      </w:pPr>
      <w:r>
        <w:rPr>
          <w:rFonts w:hint="eastAsia" w:ascii="仿宋" w:hAnsi="仿宋"/>
        </w:rPr>
        <w:t>（1）《中华人民共和国土地管理法》（2019年8月26日修正）；</w:t>
      </w:r>
    </w:p>
    <w:p w14:paraId="09358F18">
      <w:pPr>
        <w:ind w:firstLine="0" w:firstLineChars="0"/>
        <w:rPr>
          <w:rFonts w:ascii="仿宋" w:hAnsi="仿宋"/>
        </w:rPr>
      </w:pPr>
      <w:r>
        <w:rPr>
          <w:rFonts w:hint="eastAsia" w:ascii="仿宋" w:hAnsi="仿宋"/>
        </w:rPr>
        <w:t>（2）《中华人民共和国城乡规划法》（2019年4月23日修正）；</w:t>
      </w:r>
    </w:p>
    <w:p w14:paraId="5307935F">
      <w:pPr>
        <w:ind w:firstLine="0" w:firstLineChars="0"/>
        <w:rPr>
          <w:rFonts w:ascii="仿宋" w:hAnsi="仿宋"/>
        </w:rPr>
      </w:pPr>
      <w:r>
        <w:rPr>
          <w:rFonts w:hint="eastAsia" w:ascii="仿宋" w:hAnsi="仿宋"/>
        </w:rPr>
        <w:t>（3</w:t>
      </w:r>
      <w:r>
        <w:rPr>
          <w:rFonts w:ascii="仿宋" w:hAnsi="仿宋"/>
        </w:rPr>
        <w:t>）</w:t>
      </w:r>
      <w:r>
        <w:rPr>
          <w:rFonts w:hint="eastAsia" w:ascii="仿宋" w:hAnsi="仿宋"/>
        </w:rPr>
        <w:t>《中华人民共和国民法典》（2021年1月1日实施）；</w:t>
      </w:r>
    </w:p>
    <w:p w14:paraId="15E89449">
      <w:pPr>
        <w:ind w:firstLine="0" w:firstLineChars="0"/>
        <w:rPr>
          <w:rFonts w:ascii="仿宋" w:hAnsi="仿宋"/>
        </w:rPr>
      </w:pPr>
      <w:r>
        <w:rPr>
          <w:rFonts w:hint="eastAsia" w:ascii="仿宋" w:hAnsi="仿宋"/>
        </w:rPr>
        <w:t>（4）《中华人民共和国环境保护法》（2015年1月1日实施）；（5）《中华人民共和国环境影响评价法》（2018年12月29日</w:t>
      </w:r>
    </w:p>
    <w:p w14:paraId="68242CCD">
      <w:pPr>
        <w:ind w:firstLine="198" w:firstLineChars="66"/>
        <w:rPr>
          <w:rFonts w:ascii="仿宋" w:hAnsi="仿宋"/>
        </w:rPr>
      </w:pPr>
      <w:r>
        <w:rPr>
          <w:rFonts w:hint="eastAsia" w:ascii="仿宋" w:hAnsi="仿宋"/>
        </w:rPr>
        <w:t>修订）；</w:t>
      </w:r>
    </w:p>
    <w:p w14:paraId="0C514058">
      <w:pPr>
        <w:ind w:firstLine="0" w:firstLineChars="0"/>
        <w:rPr>
          <w:rFonts w:ascii="仿宋" w:hAnsi="仿宋"/>
        </w:rPr>
      </w:pPr>
      <w:r>
        <w:rPr>
          <w:rFonts w:hint="eastAsia" w:ascii="仿宋" w:hAnsi="仿宋"/>
        </w:rPr>
        <w:t>（6）《中华人民共和国土壤污染防治法》（2018版）；</w:t>
      </w:r>
    </w:p>
    <w:p w14:paraId="0B5C47C0">
      <w:pPr>
        <w:ind w:firstLine="0" w:firstLineChars="0"/>
        <w:rPr>
          <w:rFonts w:ascii="仿宋" w:hAnsi="仿宋"/>
        </w:rPr>
      </w:pPr>
      <w:r>
        <w:rPr>
          <w:rFonts w:hint="eastAsia" w:ascii="仿宋" w:hAnsi="仿宋"/>
        </w:rPr>
        <w:t>（7）《中华人民共和国水土保持法》（2010年12月25日修订）；</w:t>
      </w:r>
    </w:p>
    <w:p w14:paraId="40E3D6F4">
      <w:pPr>
        <w:ind w:firstLine="0" w:firstLineChars="0"/>
        <w:rPr>
          <w:rFonts w:ascii="仿宋" w:hAnsi="仿宋"/>
        </w:rPr>
      </w:pPr>
      <w:r>
        <w:rPr>
          <w:rFonts w:hint="eastAsia" w:ascii="仿宋" w:hAnsi="仿宋"/>
        </w:rPr>
        <w:t>（8）《中华人民共和国森林法》（2020年7月1日实施）；</w:t>
      </w:r>
    </w:p>
    <w:p w14:paraId="2E2F6FF4">
      <w:pPr>
        <w:ind w:firstLine="0" w:firstLineChars="0"/>
        <w:rPr>
          <w:rFonts w:ascii="仿宋" w:hAnsi="仿宋"/>
        </w:rPr>
      </w:pPr>
      <w:r>
        <w:rPr>
          <w:rFonts w:hint="eastAsia" w:ascii="仿宋" w:hAnsi="仿宋"/>
        </w:rPr>
        <w:t>（9）《中华人民共和国城市房地产管理法》（2019年8月26日修正）；</w:t>
      </w:r>
    </w:p>
    <w:p w14:paraId="38810301">
      <w:pPr>
        <w:ind w:firstLine="0" w:firstLineChars="0"/>
        <w:rPr>
          <w:rFonts w:ascii="仿宋" w:hAnsi="仿宋"/>
        </w:rPr>
      </w:pPr>
      <w:r>
        <w:rPr>
          <w:rFonts w:hint="eastAsia" w:ascii="仿宋" w:hAnsi="仿宋"/>
        </w:rPr>
        <w:t>（10）《中华人民共和国村民委员会组织法》（2018年12月29日修订）；</w:t>
      </w:r>
    </w:p>
    <w:p w14:paraId="34192D86">
      <w:pPr>
        <w:ind w:firstLine="0" w:firstLineChars="0"/>
        <w:rPr>
          <w:rFonts w:ascii="仿宋" w:hAnsi="仿宋"/>
        </w:rPr>
      </w:pPr>
      <w:r>
        <w:rPr>
          <w:rFonts w:hint="eastAsia" w:ascii="仿宋" w:hAnsi="仿宋"/>
        </w:rPr>
        <w:t>（11）《不动产登记暂行条例》（2014年11月24日国务院令656 号）；</w:t>
      </w:r>
    </w:p>
    <w:p w14:paraId="54CF2C6E">
      <w:pPr>
        <w:ind w:firstLine="0" w:firstLineChars="0"/>
        <w:rPr>
          <w:rFonts w:ascii="仿宋" w:hAnsi="仿宋"/>
        </w:rPr>
      </w:pPr>
      <w:r>
        <w:rPr>
          <w:rFonts w:hint="eastAsia" w:ascii="仿宋" w:hAnsi="仿宋"/>
        </w:rPr>
        <w:t>（12）《基本农田保护条例》（2011年1月8日修订）；</w:t>
      </w:r>
    </w:p>
    <w:p w14:paraId="26FCCCEA">
      <w:pPr>
        <w:ind w:firstLine="0" w:firstLineChars="0"/>
        <w:rPr>
          <w:rFonts w:ascii="仿宋" w:hAnsi="仿宋"/>
        </w:rPr>
      </w:pPr>
      <w:r>
        <w:rPr>
          <w:rFonts w:hint="eastAsia" w:ascii="仿宋" w:hAnsi="仿宋"/>
        </w:rPr>
        <w:t>（13）《中华人民共和国土地管理法实施条例》（2021年7月2日修订）；</w:t>
      </w:r>
    </w:p>
    <w:p w14:paraId="3F4E0D52">
      <w:pPr>
        <w:ind w:firstLine="198" w:firstLineChars="66"/>
        <w:rPr>
          <w:rFonts w:ascii="仿宋" w:hAnsi="仿宋"/>
        </w:rPr>
      </w:pPr>
      <w:r>
        <w:rPr>
          <w:rFonts w:hint="eastAsia" w:ascii="仿宋" w:hAnsi="仿宋"/>
        </w:rPr>
        <w:t>（14）《节约集约利用土地规定》（国土资源部令第61号）；</w:t>
      </w:r>
    </w:p>
    <w:p w14:paraId="0204F2B8">
      <w:pPr>
        <w:ind w:firstLine="198" w:firstLineChars="66"/>
        <w:rPr>
          <w:rFonts w:ascii="仿宋" w:hAnsi="仿宋"/>
        </w:rPr>
      </w:pPr>
      <w:r>
        <w:rPr>
          <w:rFonts w:hint="eastAsia" w:ascii="仿宋" w:hAnsi="仿宋"/>
        </w:rPr>
        <w:t>（二）政策依据</w:t>
      </w:r>
    </w:p>
    <w:p w14:paraId="1B5CF4C4">
      <w:pPr>
        <w:ind w:firstLine="0" w:firstLineChars="0"/>
        <w:rPr>
          <w:rFonts w:ascii="仿宋" w:hAnsi="仿宋"/>
        </w:rPr>
      </w:pPr>
      <w:r>
        <w:rPr>
          <w:rFonts w:hint="eastAsia" w:ascii="仿宋" w:hAnsi="仿宋"/>
        </w:rPr>
        <w:t>（1）《中共中央国务院关于加强耕地保护和改进占补平衡的意见》（中发〔2017〕4号）；</w:t>
      </w:r>
    </w:p>
    <w:p w14:paraId="3EBB3A5B">
      <w:pPr>
        <w:ind w:firstLine="0" w:firstLineChars="0"/>
        <w:rPr>
          <w:rFonts w:ascii="仿宋" w:hAnsi="仿宋"/>
        </w:rPr>
      </w:pPr>
      <w:r>
        <w:rPr>
          <w:rFonts w:hint="eastAsia" w:ascii="仿宋" w:hAnsi="仿宋"/>
        </w:rPr>
        <w:t>（2）《中共中央办公厅国务院办公厅印发&lt;关于在国土空间规划</w:t>
      </w:r>
    </w:p>
    <w:p w14:paraId="6830E026">
      <w:pPr>
        <w:ind w:firstLine="0" w:firstLineChars="0"/>
        <w:rPr>
          <w:rFonts w:ascii="仿宋" w:hAnsi="仿宋"/>
        </w:rPr>
      </w:pPr>
      <w:r>
        <w:rPr>
          <w:rFonts w:hint="eastAsia" w:ascii="仿宋" w:hAnsi="仿宋"/>
        </w:rPr>
        <w:t>中统筹划定落实三条控制线&gt;的指导意见》（厅字〔2019〕48号）；</w:t>
      </w:r>
    </w:p>
    <w:p w14:paraId="65F8DD8B">
      <w:pPr>
        <w:ind w:firstLine="0" w:firstLineChars="0"/>
        <w:rPr>
          <w:rFonts w:ascii="仿宋" w:hAnsi="仿宋"/>
        </w:rPr>
      </w:pPr>
      <w:r>
        <w:rPr>
          <w:rFonts w:hint="eastAsia" w:ascii="仿宋" w:hAnsi="仿宋"/>
        </w:rPr>
        <w:t>（3）《中共中央办公厅国务院&lt;关于建立国土空间规划体系并监</w:t>
      </w:r>
    </w:p>
    <w:p w14:paraId="7AE88C51">
      <w:pPr>
        <w:ind w:firstLine="198" w:firstLineChars="66"/>
        <w:rPr>
          <w:rFonts w:ascii="仿宋" w:hAnsi="仿宋"/>
        </w:rPr>
      </w:pPr>
      <w:r>
        <w:rPr>
          <w:rFonts w:hint="eastAsia" w:ascii="仿宋" w:hAnsi="仿宋"/>
        </w:rPr>
        <w:t>督实施的若干意见》（中发〔2019〕18号）；</w:t>
      </w:r>
    </w:p>
    <w:p w14:paraId="7C150B7B">
      <w:pPr>
        <w:ind w:firstLine="0" w:firstLineChars="0"/>
        <w:rPr>
          <w:rFonts w:ascii="仿宋" w:hAnsi="仿宋"/>
        </w:rPr>
      </w:pPr>
      <w:r>
        <w:rPr>
          <w:rFonts w:hint="eastAsia" w:ascii="仿宋" w:hAnsi="仿宋"/>
        </w:rPr>
        <w:t>（4）《国土资源部关于全面实行永久基本农田特殊保护的通知》</w:t>
      </w:r>
    </w:p>
    <w:p w14:paraId="64420EDC">
      <w:pPr>
        <w:ind w:firstLine="198" w:firstLineChars="66"/>
        <w:rPr>
          <w:rFonts w:ascii="仿宋" w:hAnsi="仿宋"/>
        </w:rPr>
      </w:pPr>
      <w:r>
        <w:rPr>
          <w:rFonts w:hint="eastAsia" w:ascii="仿宋" w:hAnsi="仿宋"/>
        </w:rPr>
        <w:t>（国土资规〔2018〕1号）；</w:t>
      </w:r>
    </w:p>
    <w:p w14:paraId="46BC36A8">
      <w:pPr>
        <w:ind w:firstLine="0" w:firstLineChars="0"/>
        <w:rPr>
          <w:rFonts w:ascii="仿宋" w:hAnsi="仿宋"/>
        </w:rPr>
      </w:pPr>
      <w:r>
        <w:rPr>
          <w:rFonts w:hint="eastAsia" w:ascii="仿宋" w:hAnsi="仿宋"/>
        </w:rPr>
        <w:t>（5）《自然资源部农业农村部关于加强和改进永久基本农田保护工作的通知》（自然资规〔2019〕1号）；</w:t>
      </w:r>
    </w:p>
    <w:p w14:paraId="40D05BFD">
      <w:pPr>
        <w:ind w:firstLine="0" w:firstLineChars="0"/>
        <w:rPr>
          <w:rFonts w:ascii="仿宋" w:hAnsi="仿宋"/>
        </w:rPr>
      </w:pPr>
      <w:r>
        <w:rPr>
          <w:rFonts w:hint="eastAsia" w:ascii="仿宋" w:hAnsi="仿宋"/>
        </w:rPr>
        <w:t>（6）《自然资源部关于印发&lt;土地征收成片开发标准（试行）&gt;</w:t>
      </w:r>
    </w:p>
    <w:p w14:paraId="7641E6D0">
      <w:pPr>
        <w:ind w:firstLine="198" w:firstLineChars="66"/>
        <w:rPr>
          <w:rFonts w:ascii="仿宋" w:hAnsi="仿宋"/>
        </w:rPr>
      </w:pPr>
      <w:r>
        <w:rPr>
          <w:rFonts w:hint="eastAsia" w:ascii="仿宋" w:hAnsi="仿宋"/>
        </w:rPr>
        <w:t>的通知》（自然资规〔2020〕5号）；</w:t>
      </w:r>
    </w:p>
    <w:p w14:paraId="689BFA4F">
      <w:pPr>
        <w:ind w:firstLine="0" w:firstLineChars="0"/>
        <w:rPr>
          <w:rFonts w:ascii="仿宋" w:hAnsi="仿宋"/>
        </w:rPr>
      </w:pPr>
      <w:r>
        <w:rPr>
          <w:rFonts w:hint="eastAsia" w:ascii="仿宋" w:hAnsi="仿宋"/>
        </w:rPr>
        <w:t>（7）《江西省人民政府办公厅关于执行土地征收成片开发标准（试行）的指导意见》（赣府厅发〔2021〕2号）；</w:t>
      </w:r>
    </w:p>
    <w:p w14:paraId="25122267">
      <w:pPr>
        <w:ind w:firstLine="0" w:firstLineChars="0"/>
        <w:rPr>
          <w:rFonts w:ascii="仿宋" w:hAnsi="仿宋"/>
        </w:rPr>
      </w:pPr>
      <w:r>
        <w:rPr>
          <w:rFonts w:hint="eastAsia" w:ascii="仿宋" w:hAnsi="仿宋"/>
        </w:rPr>
        <w:t>（8）《江西省自然资源厅办公室关于认真贯彻执行新&lt;土地管理</w:t>
      </w:r>
    </w:p>
    <w:p w14:paraId="7346ACFF">
      <w:pPr>
        <w:ind w:firstLine="0" w:firstLineChars="0"/>
        <w:rPr>
          <w:rFonts w:ascii="仿宋" w:hAnsi="仿宋"/>
        </w:rPr>
      </w:pPr>
      <w:r>
        <w:rPr>
          <w:rFonts w:hint="eastAsia" w:ascii="仿宋" w:hAnsi="仿宋"/>
        </w:rPr>
        <w:t>法&gt;切实做好土地征收工作的通知》（赣自然资办发〔2020〕20号）；</w:t>
      </w:r>
    </w:p>
    <w:p w14:paraId="793BF68D">
      <w:pPr>
        <w:ind w:firstLine="0" w:firstLineChars="0"/>
        <w:rPr>
          <w:rFonts w:ascii="仿宋" w:hAnsi="仿宋"/>
        </w:rPr>
      </w:pPr>
      <w:r>
        <w:rPr>
          <w:rFonts w:hint="eastAsia" w:ascii="仿宋" w:hAnsi="仿宋"/>
        </w:rPr>
        <w:t>（9）《江西省自然资源厅关于积极发挥自然资源要素保障作用扎实做好“六稳”“六保”有关工作的通知》（赣自然资字〔2020〕71号）；</w:t>
      </w:r>
    </w:p>
    <w:p w14:paraId="3EDE8984">
      <w:pPr>
        <w:ind w:firstLine="0" w:firstLineChars="0"/>
        <w:rPr>
          <w:rFonts w:ascii="仿宋" w:hAnsi="仿宋"/>
        </w:rPr>
      </w:pPr>
      <w:r>
        <w:rPr>
          <w:rFonts w:hint="eastAsia" w:ascii="仿宋" w:hAnsi="仿宋"/>
        </w:rPr>
        <w:t>（10）《江西省人民政府关于公布全省征地区片综合地价的通知》</w:t>
      </w:r>
    </w:p>
    <w:p w14:paraId="4CB9FB96">
      <w:pPr>
        <w:ind w:firstLine="0" w:firstLineChars="0"/>
        <w:rPr>
          <w:rFonts w:ascii="仿宋" w:hAnsi="仿宋"/>
        </w:rPr>
      </w:pPr>
      <w:r>
        <w:rPr>
          <w:rFonts w:hint="eastAsia" w:ascii="仿宋" w:hAnsi="仿宋"/>
        </w:rPr>
        <w:t>（赣府字〔2020〕9号）；</w:t>
      </w:r>
    </w:p>
    <w:p w14:paraId="37ADFA74">
      <w:pPr>
        <w:ind w:firstLine="0" w:firstLineChars="0"/>
        <w:rPr>
          <w:rFonts w:ascii="仿宋" w:hAnsi="仿宋"/>
        </w:rPr>
      </w:pPr>
      <w:r>
        <w:rPr>
          <w:rFonts w:hint="eastAsia" w:ascii="仿宋" w:hAnsi="仿宋"/>
        </w:rPr>
        <w:t>（11）《中共江西省委江西省人民政府关于加强耕地保护和改进</w:t>
      </w:r>
    </w:p>
    <w:p w14:paraId="77A75548">
      <w:pPr>
        <w:ind w:firstLine="198" w:firstLineChars="66"/>
        <w:rPr>
          <w:rFonts w:ascii="仿宋" w:hAnsi="仿宋"/>
        </w:rPr>
      </w:pPr>
      <w:r>
        <w:rPr>
          <w:rFonts w:hint="eastAsia" w:ascii="仿宋" w:hAnsi="仿宋"/>
        </w:rPr>
        <w:t>占补平衡的实施意见》（赣发〔2017〕31号）；</w:t>
      </w:r>
    </w:p>
    <w:p w14:paraId="025FAA1F">
      <w:pPr>
        <w:ind w:firstLine="0" w:firstLineChars="0"/>
        <w:rPr>
          <w:rFonts w:ascii="仿宋" w:hAnsi="仿宋"/>
        </w:rPr>
      </w:pPr>
      <w:r>
        <w:rPr>
          <w:rFonts w:hint="eastAsia" w:ascii="仿宋" w:hAnsi="仿宋"/>
        </w:rPr>
        <w:t>（12）《中共江西省委江西省人民政府关于建立全省国土空间规</w:t>
      </w:r>
    </w:p>
    <w:p w14:paraId="38E00FCE">
      <w:pPr>
        <w:ind w:firstLine="198" w:firstLineChars="66"/>
        <w:rPr>
          <w:rFonts w:ascii="仿宋" w:hAnsi="仿宋"/>
        </w:rPr>
      </w:pPr>
      <w:r>
        <w:rPr>
          <w:rFonts w:hint="eastAsia" w:ascii="仿宋" w:hAnsi="仿宋"/>
        </w:rPr>
        <w:t>划体系并监督实施的意见》（赣发〔2019〕23号）；</w:t>
      </w:r>
    </w:p>
    <w:p w14:paraId="4196B984">
      <w:pPr>
        <w:ind w:firstLine="0" w:firstLineChars="0"/>
        <w:rPr>
          <w:rFonts w:ascii="仿宋" w:hAnsi="仿宋"/>
        </w:rPr>
      </w:pPr>
      <w:r>
        <w:rPr>
          <w:rFonts w:hint="eastAsia" w:ascii="仿宋" w:hAnsi="仿宋"/>
        </w:rPr>
        <w:t>（13）《国务院关于促进节约集约用地的通知》（国发〔2008〕3号）；</w:t>
      </w:r>
    </w:p>
    <w:p w14:paraId="3D7806A9">
      <w:pPr>
        <w:ind w:firstLine="0" w:firstLineChars="0"/>
        <w:rPr>
          <w:rFonts w:ascii="仿宋" w:hAnsi="仿宋"/>
        </w:rPr>
      </w:pPr>
      <w:r>
        <w:rPr>
          <w:rFonts w:ascii="仿宋" w:hAnsi="仿宋"/>
        </w:rPr>
        <w:t>（</w:t>
      </w:r>
      <w:r>
        <w:rPr>
          <w:rFonts w:hint="eastAsia" w:ascii="仿宋" w:hAnsi="仿宋"/>
        </w:rPr>
        <w:t>14）《国土空间调查、规划、用途管制用地用海分类指南（试</w:t>
      </w:r>
    </w:p>
    <w:p w14:paraId="20F648AE">
      <w:pPr>
        <w:ind w:left="198" w:leftChars="66" w:firstLine="0" w:firstLineChars="0"/>
        <w:rPr>
          <w:rFonts w:ascii="仿宋" w:hAnsi="仿宋"/>
        </w:rPr>
      </w:pPr>
      <w:r>
        <w:rPr>
          <w:rFonts w:hint="eastAsia" w:ascii="仿宋" w:hAnsi="仿宋"/>
        </w:rPr>
        <w:t>行）》；</w:t>
      </w:r>
    </w:p>
    <w:p w14:paraId="1DDB1826">
      <w:pPr>
        <w:ind w:firstLine="0" w:firstLineChars="0"/>
        <w:rPr>
          <w:rFonts w:ascii="仿宋" w:hAnsi="仿宋"/>
        </w:rPr>
      </w:pPr>
      <w:r>
        <w:rPr>
          <w:rFonts w:hint="eastAsia" w:ascii="仿宋" w:hAnsi="仿宋"/>
        </w:rPr>
        <w:t>（15）《江西省自然资源厅办公室关于印发土地征收成片开发方</w:t>
      </w:r>
    </w:p>
    <w:p w14:paraId="71FD7BD7">
      <w:pPr>
        <w:ind w:left="198" w:leftChars="66" w:firstLine="0" w:firstLineChars="0"/>
        <w:rPr>
          <w:rFonts w:ascii="仿宋" w:hAnsi="仿宋"/>
        </w:rPr>
      </w:pPr>
      <w:r>
        <w:rPr>
          <w:rFonts w:hint="eastAsia" w:ascii="仿宋" w:hAnsi="仿宋"/>
        </w:rPr>
        <w:t>案审批指南（试行）的通知》（赣自然资办发〔2021〕30号）；</w:t>
      </w:r>
    </w:p>
    <w:p w14:paraId="20F0A1AD">
      <w:pPr>
        <w:ind w:firstLine="0" w:firstLineChars="0"/>
        <w:rPr>
          <w:rFonts w:ascii="仿宋" w:hAnsi="仿宋"/>
        </w:rPr>
      </w:pPr>
      <w:r>
        <w:rPr>
          <w:rFonts w:hint="eastAsia" w:ascii="仿宋" w:hAnsi="仿宋"/>
        </w:rPr>
        <w:t>（三）相关规划及基础数据</w:t>
      </w:r>
    </w:p>
    <w:p w14:paraId="1633A737">
      <w:pPr>
        <w:ind w:firstLine="0" w:firstLineChars="0"/>
        <w:rPr>
          <w:rFonts w:ascii="仿宋" w:hAnsi="仿宋"/>
        </w:rPr>
      </w:pPr>
      <w:r>
        <w:rPr>
          <w:rFonts w:hint="eastAsia" w:ascii="仿宋" w:hAnsi="仿宋"/>
        </w:rPr>
        <w:t>（1）《江西省建设用地指标》（2018版）；</w:t>
      </w:r>
    </w:p>
    <w:p w14:paraId="1BD89DB8">
      <w:pPr>
        <w:ind w:firstLine="0" w:firstLineChars="0"/>
        <w:rPr>
          <w:rFonts w:ascii="仿宋" w:hAnsi="仿宋"/>
        </w:rPr>
      </w:pPr>
      <w:r>
        <w:rPr>
          <w:rFonts w:hint="eastAsia" w:ascii="仿宋" w:hAnsi="仿宋"/>
        </w:rPr>
        <w:t>（2）《</w:t>
      </w:r>
      <w:r>
        <w:rPr>
          <w:rFonts w:hint="eastAsia" w:ascii="仿宋_GB2312" w:hAnsi="仿宋_GB2312" w:eastAsia="仿宋_GB2312" w:cs="仿宋_GB2312"/>
          <w:color w:val="000000"/>
          <w:kern w:val="0"/>
          <w:sz w:val="32"/>
          <w:szCs w:val="32"/>
        </w:rPr>
        <w:t>乐平市过渡期土地利用总体规划与“三区三线”划定成果衔接方案》</w:t>
      </w:r>
      <w:r>
        <w:rPr>
          <w:rFonts w:hint="eastAsia" w:ascii="仿宋" w:hAnsi="仿宋"/>
        </w:rPr>
        <w:t>；</w:t>
      </w:r>
    </w:p>
    <w:p w14:paraId="20D581E6">
      <w:pPr>
        <w:ind w:firstLine="0" w:firstLineChars="0"/>
        <w:rPr>
          <w:rFonts w:ascii="仿宋" w:hAnsi="仿宋"/>
        </w:rPr>
      </w:pPr>
      <w:r>
        <w:rPr>
          <w:rFonts w:hint="eastAsia" w:ascii="仿宋" w:hAnsi="仿宋"/>
        </w:rPr>
        <w:t>（3）《乐平市城乡总体规划暨“多规合一”规划（2016-2030年）》；</w:t>
      </w:r>
    </w:p>
    <w:p w14:paraId="5C60A546">
      <w:pPr>
        <w:ind w:firstLine="0" w:firstLineChars="0"/>
        <w:rPr>
          <w:rFonts w:ascii="仿宋" w:hAnsi="仿宋"/>
        </w:rPr>
      </w:pPr>
      <w:r>
        <w:rPr>
          <w:rFonts w:hint="eastAsia" w:ascii="仿宋" w:hAnsi="仿宋"/>
        </w:rPr>
        <w:t>（4）《乐平市国民经济和社会发展规划第十四个五年发展规划和二〇三五年远景目标纲要》；</w:t>
      </w:r>
    </w:p>
    <w:p w14:paraId="56993F59">
      <w:pPr>
        <w:ind w:firstLine="0" w:firstLineChars="0"/>
        <w:rPr>
          <w:rFonts w:ascii="仿宋" w:hAnsi="仿宋"/>
        </w:rPr>
      </w:pPr>
      <w:r>
        <w:rPr>
          <w:rFonts w:hint="eastAsia" w:ascii="仿宋" w:hAnsi="仿宋"/>
        </w:rPr>
        <w:t>（5）乐平市生态保护红线评估优化成果；</w:t>
      </w:r>
    </w:p>
    <w:p w14:paraId="2A27C289">
      <w:pPr>
        <w:ind w:firstLine="0" w:firstLineChars="0"/>
        <w:rPr>
          <w:rFonts w:ascii="仿宋" w:hAnsi="仿宋"/>
        </w:rPr>
      </w:pPr>
      <w:r>
        <w:rPr>
          <w:rFonts w:hint="eastAsia" w:ascii="仿宋" w:hAnsi="仿宋"/>
        </w:rPr>
        <w:t>（6）乐平市自然保护地核实整改初步成果；</w:t>
      </w:r>
    </w:p>
    <w:p w14:paraId="1116F7DE">
      <w:pPr>
        <w:ind w:firstLine="0" w:firstLineChars="0"/>
        <w:rPr>
          <w:rFonts w:ascii="仿宋" w:hAnsi="仿宋"/>
        </w:rPr>
      </w:pPr>
      <w:r>
        <w:rPr>
          <w:rFonts w:hint="eastAsia" w:ascii="仿宋" w:hAnsi="仿宋"/>
        </w:rPr>
        <w:t>（7）乐平市第七次森林资源二类调查成果；</w:t>
      </w:r>
    </w:p>
    <w:p w14:paraId="0E05BB08">
      <w:pPr>
        <w:ind w:firstLine="0" w:firstLineChars="0"/>
        <w:rPr>
          <w:rFonts w:ascii="仿宋" w:hAnsi="仿宋"/>
        </w:rPr>
      </w:pPr>
      <w:r>
        <w:rPr>
          <w:rFonts w:hint="eastAsia" w:ascii="仿宋" w:hAnsi="仿宋"/>
        </w:rPr>
        <w:t>（8）乐平市矿产资源数据；</w:t>
      </w:r>
    </w:p>
    <w:p w14:paraId="677243F5">
      <w:pPr>
        <w:ind w:firstLine="0" w:firstLineChars="0"/>
        <w:rPr>
          <w:rFonts w:ascii="仿宋" w:hAnsi="仿宋"/>
        </w:rPr>
      </w:pPr>
      <w:r>
        <w:rPr>
          <w:rFonts w:hint="eastAsia" w:ascii="仿宋" w:hAnsi="仿宋"/>
        </w:rPr>
        <w:t>（9）乐平市地质灾害调查与区划；</w:t>
      </w:r>
    </w:p>
    <w:p w14:paraId="1F279694">
      <w:pPr>
        <w:ind w:firstLine="0" w:firstLineChars="0"/>
        <w:rPr>
          <w:rFonts w:ascii="仿宋" w:hAnsi="仿宋"/>
        </w:rPr>
      </w:pPr>
      <w:r>
        <w:rPr>
          <w:rFonts w:hint="eastAsia" w:ascii="仿宋" w:hAnsi="仿宋"/>
        </w:rPr>
        <w:t>（10）乐平市</w:t>
      </w:r>
      <w:r>
        <w:rPr>
          <w:rFonts w:ascii="仿宋" w:hAnsi="仿宋"/>
        </w:rPr>
        <w:t>202</w:t>
      </w:r>
      <w:r>
        <w:rPr>
          <w:rFonts w:hint="eastAsia" w:ascii="仿宋" w:hAnsi="仿宋"/>
        </w:rPr>
        <w:t>1年国土变更调查成果；</w:t>
      </w:r>
    </w:p>
    <w:p w14:paraId="134DE8FB">
      <w:pPr>
        <w:ind w:firstLine="0" w:firstLineChars="0"/>
        <w:rPr>
          <w:rFonts w:ascii="仿宋" w:hAnsi="仿宋"/>
        </w:rPr>
      </w:pPr>
      <w:r>
        <w:rPr>
          <w:rFonts w:hint="eastAsia" w:ascii="仿宋" w:hAnsi="仿宋"/>
        </w:rPr>
        <w:t>（11）乐平市“三区三线”划定成果；</w:t>
      </w:r>
    </w:p>
    <w:p w14:paraId="28F79552">
      <w:pPr>
        <w:ind w:firstLine="0" w:firstLineChars="0"/>
        <w:rPr>
          <w:rFonts w:ascii="仿宋" w:hAnsi="仿宋"/>
        </w:rPr>
      </w:pPr>
      <w:r>
        <w:rPr>
          <w:rFonts w:hint="eastAsia" w:ascii="仿宋" w:hAnsi="仿宋"/>
        </w:rPr>
        <w:t>（12）《江西乐平工业园区控制性详细规划》；</w:t>
      </w:r>
    </w:p>
    <w:p w14:paraId="62EF9F5A">
      <w:pPr>
        <w:ind w:firstLine="0" w:firstLineChars="0"/>
        <w:rPr>
          <w:rFonts w:ascii="仿宋" w:hAnsi="仿宋"/>
        </w:rPr>
      </w:pPr>
      <w:r>
        <w:rPr>
          <w:rFonts w:hint="eastAsia" w:ascii="仿宋" w:hAnsi="仿宋"/>
        </w:rPr>
        <w:t>（13）《乐平市鸣山工业园区控制性详细规划（调整）》；</w:t>
      </w:r>
    </w:p>
    <w:p w14:paraId="77E2ADC2">
      <w:pPr>
        <w:ind w:firstLine="0" w:firstLineChars="0"/>
        <w:rPr>
          <w:rFonts w:ascii="仿宋" w:hAnsi="仿宋"/>
        </w:rPr>
      </w:pPr>
      <w:r>
        <w:rPr>
          <w:rFonts w:hint="eastAsia" w:ascii="仿宋" w:hAnsi="仿宋"/>
        </w:rPr>
        <w:t>（14）其他相关规划。</w:t>
      </w:r>
    </w:p>
    <w:p w14:paraId="4088B8BB">
      <w:pPr>
        <w:pStyle w:val="3"/>
        <w:ind w:firstLine="161"/>
        <w:rPr>
          <w:rFonts w:ascii="楷体" w:hAnsi="楷体"/>
        </w:rPr>
      </w:pPr>
      <w:bookmarkStart w:id="12" w:name="_Toc125886591"/>
      <w:r>
        <w:rPr>
          <w:rFonts w:ascii="楷体" w:hAnsi="楷体"/>
        </w:rPr>
        <w:t>六、实施期限与范围</w:t>
      </w:r>
      <w:bookmarkEnd w:id="12"/>
    </w:p>
    <w:p w14:paraId="36110C6A">
      <w:pPr>
        <w:ind w:firstLine="600"/>
        <w:rPr>
          <w:rFonts w:ascii="仿宋" w:hAnsi="仿宋"/>
        </w:rPr>
      </w:pPr>
      <w:r>
        <w:rPr>
          <w:rFonts w:hint="eastAsia" w:ascii="仿宋" w:hAnsi="仿宋"/>
        </w:rPr>
        <w:t>1、实施期限</w:t>
      </w:r>
    </w:p>
    <w:p w14:paraId="3CB56F7F">
      <w:pPr>
        <w:ind w:firstLine="600"/>
        <w:rPr>
          <w:rFonts w:ascii="仿宋" w:hAnsi="仿宋"/>
        </w:rPr>
      </w:pPr>
      <w:r>
        <w:rPr>
          <w:rFonts w:hint="eastAsia" w:ascii="仿宋" w:hAnsi="仿宋"/>
        </w:rPr>
        <w:t>按照《关于执行土地征收成片开发标准的指导意见》要求，综合考虑当地社会经济发展状况、市场需求情况、资金筹措等因素，本方案实施周期为一年：2023年。</w:t>
      </w:r>
    </w:p>
    <w:p w14:paraId="665840A2">
      <w:pPr>
        <w:ind w:firstLine="600"/>
        <w:rPr>
          <w:rFonts w:ascii="仿宋" w:hAnsi="仿宋"/>
        </w:rPr>
      </w:pPr>
      <w:r>
        <w:rPr>
          <w:rFonts w:hint="eastAsia" w:ascii="仿宋" w:hAnsi="仿宋"/>
        </w:rPr>
        <w:t>2、实施范围</w:t>
      </w:r>
    </w:p>
    <w:p w14:paraId="08A6B309">
      <w:pPr>
        <w:ind w:firstLine="600"/>
        <w:jc w:val="left"/>
        <w:rPr>
          <w:rFonts w:ascii="仿宋" w:hAnsi="仿宋"/>
        </w:rPr>
      </w:pPr>
      <w:r>
        <w:rPr>
          <w:rFonts w:hint="eastAsia" w:ascii="仿宋" w:hAnsi="仿宋"/>
        </w:rPr>
        <w:t>本次成片开发范围位于</w:t>
      </w:r>
      <w:r>
        <w:rPr>
          <w:rFonts w:ascii="仿宋" w:hAnsi="仿宋"/>
        </w:rPr>
        <w:t>洎阳街道办、塔山街道办、后港镇、接渡镇、乐港镇、农业高新园、礼林镇、双田镇、塔前镇等</w:t>
      </w:r>
      <w:r>
        <w:rPr>
          <w:rFonts w:hint="eastAsia" w:ascii="仿宋" w:hAnsi="仿宋"/>
        </w:rPr>
        <w:t>，总规模为</w:t>
      </w:r>
      <w:r>
        <w:rPr>
          <w:rFonts w:ascii="仿宋" w:hAnsi="仿宋"/>
        </w:rPr>
        <w:t>179.9344</w:t>
      </w:r>
      <w:r>
        <w:rPr>
          <w:rFonts w:hint="eastAsia" w:ascii="仿宋" w:hAnsi="仿宋"/>
        </w:rPr>
        <w:t>公顷，分为</w:t>
      </w:r>
      <w:r>
        <w:rPr>
          <w:rFonts w:ascii="仿宋" w:hAnsi="仿宋"/>
        </w:rPr>
        <w:t>4</w:t>
      </w:r>
      <w:r>
        <w:rPr>
          <w:rFonts w:hint="eastAsia" w:ascii="仿宋" w:hAnsi="仿宋"/>
        </w:rPr>
        <w:t>区片，即金山片区、塔山片区、鸣山片区和洪岩片区。</w:t>
      </w:r>
    </w:p>
    <w:p w14:paraId="73D36C46">
      <w:pPr>
        <w:ind w:firstLine="480"/>
        <w:jc w:val="center"/>
        <w:rPr>
          <w:sz w:val="44"/>
        </w:rPr>
      </w:pPr>
      <w:r>
        <w:rPr>
          <w:rFonts w:hint="eastAsia"/>
          <w:sz w:val="24"/>
        </w:rPr>
        <w:t>乐平市土地征收成片开发方案（2023年）片区面积汇总表</w:t>
      </w:r>
    </w:p>
    <w:p w14:paraId="4201C830">
      <w:pPr>
        <w:ind w:firstLine="360"/>
        <w:jc w:val="right"/>
        <w:rPr>
          <w:rFonts w:ascii="仿宋" w:hAnsi="仿宋"/>
          <w:sz w:val="18"/>
          <w:szCs w:val="21"/>
        </w:rPr>
      </w:pPr>
      <w:r>
        <w:rPr>
          <w:rFonts w:hint="eastAsia" w:ascii="仿宋" w:hAnsi="仿宋"/>
          <w:sz w:val="18"/>
          <w:szCs w:val="21"/>
        </w:rPr>
        <w:t>单位：公顷</w:t>
      </w:r>
    </w:p>
    <w:tbl>
      <w:tblPr>
        <w:tblStyle w:val="16"/>
        <w:tblW w:w="5000" w:type="pct"/>
        <w:tblInd w:w="0" w:type="dxa"/>
        <w:tblLayout w:type="autofit"/>
        <w:tblCellMar>
          <w:top w:w="0" w:type="dxa"/>
          <w:left w:w="108" w:type="dxa"/>
          <w:bottom w:w="0" w:type="dxa"/>
          <w:right w:w="108" w:type="dxa"/>
        </w:tblCellMar>
      </w:tblPr>
      <w:tblGrid>
        <w:gridCol w:w="1144"/>
        <w:gridCol w:w="1425"/>
        <w:gridCol w:w="2265"/>
        <w:gridCol w:w="2265"/>
        <w:gridCol w:w="1423"/>
      </w:tblGrid>
      <w:tr w14:paraId="3EB5DA6B">
        <w:tblPrEx>
          <w:tblCellMar>
            <w:top w:w="0" w:type="dxa"/>
            <w:left w:w="108" w:type="dxa"/>
            <w:bottom w:w="0" w:type="dxa"/>
            <w:right w:w="108" w:type="dxa"/>
          </w:tblCellMar>
        </w:tblPrEx>
        <w:trPr>
          <w:trHeight w:val="396" w:hRule="atLeast"/>
        </w:trPr>
        <w:tc>
          <w:tcPr>
            <w:tcW w:w="67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3226731">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片区</w:t>
            </w:r>
          </w:p>
        </w:tc>
        <w:tc>
          <w:tcPr>
            <w:tcW w:w="836" w:type="pct"/>
            <w:tcBorders>
              <w:top w:val="single" w:color="auto" w:sz="4" w:space="0"/>
              <w:left w:val="nil"/>
              <w:bottom w:val="single" w:color="auto" w:sz="4" w:space="0"/>
              <w:right w:val="single" w:color="auto" w:sz="4" w:space="0"/>
            </w:tcBorders>
            <w:shd w:val="clear" w:color="auto" w:fill="auto"/>
            <w:noWrap/>
            <w:vAlign w:val="center"/>
          </w:tcPr>
          <w:p w14:paraId="7CB2855B">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总面积</w:t>
            </w:r>
          </w:p>
        </w:tc>
        <w:tc>
          <w:tcPr>
            <w:tcW w:w="1329" w:type="pct"/>
            <w:tcBorders>
              <w:top w:val="single" w:color="auto" w:sz="4" w:space="0"/>
              <w:left w:val="nil"/>
              <w:bottom w:val="single" w:color="auto" w:sz="4" w:space="0"/>
              <w:right w:val="single" w:color="auto" w:sz="4" w:space="0"/>
            </w:tcBorders>
            <w:shd w:val="clear" w:color="auto" w:fill="auto"/>
            <w:noWrap/>
            <w:vAlign w:val="center"/>
          </w:tcPr>
          <w:p w14:paraId="4FC7A0D7">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拟征收土地面积</w:t>
            </w:r>
          </w:p>
        </w:tc>
        <w:tc>
          <w:tcPr>
            <w:tcW w:w="1329" w:type="pct"/>
            <w:tcBorders>
              <w:top w:val="single" w:color="auto" w:sz="4" w:space="0"/>
              <w:left w:val="nil"/>
              <w:bottom w:val="single" w:color="auto" w:sz="4" w:space="0"/>
              <w:right w:val="single" w:color="auto" w:sz="4" w:space="0"/>
            </w:tcBorders>
            <w:shd w:val="clear" w:color="auto" w:fill="auto"/>
            <w:noWrap/>
            <w:vAlign w:val="center"/>
          </w:tcPr>
          <w:p w14:paraId="6B58413D">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公益性用地面积</w:t>
            </w:r>
          </w:p>
        </w:tc>
        <w:tc>
          <w:tcPr>
            <w:tcW w:w="836" w:type="pct"/>
            <w:tcBorders>
              <w:top w:val="single" w:color="auto" w:sz="4" w:space="0"/>
              <w:left w:val="nil"/>
              <w:bottom w:val="single" w:color="auto" w:sz="4" w:space="0"/>
              <w:right w:val="single" w:color="auto" w:sz="4" w:space="0"/>
            </w:tcBorders>
            <w:shd w:val="clear" w:color="auto" w:fill="auto"/>
            <w:noWrap/>
            <w:vAlign w:val="center"/>
          </w:tcPr>
          <w:p w14:paraId="33DA88A4">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公益比例</w:t>
            </w:r>
          </w:p>
        </w:tc>
      </w:tr>
      <w:tr w14:paraId="47121F6A">
        <w:tblPrEx>
          <w:tblCellMar>
            <w:top w:w="0" w:type="dxa"/>
            <w:left w:w="108" w:type="dxa"/>
            <w:bottom w:w="0" w:type="dxa"/>
            <w:right w:w="108" w:type="dxa"/>
          </w:tblCellMar>
        </w:tblPrEx>
        <w:trPr>
          <w:trHeight w:val="396" w:hRule="atLeast"/>
        </w:trPr>
        <w:tc>
          <w:tcPr>
            <w:tcW w:w="671" w:type="pct"/>
            <w:tcBorders>
              <w:top w:val="nil"/>
              <w:left w:val="single" w:color="auto" w:sz="4" w:space="0"/>
              <w:bottom w:val="single" w:color="auto" w:sz="4" w:space="0"/>
              <w:right w:val="single" w:color="auto" w:sz="4" w:space="0"/>
            </w:tcBorders>
            <w:shd w:val="clear" w:color="auto" w:fill="auto"/>
            <w:noWrap/>
            <w:vAlign w:val="center"/>
          </w:tcPr>
          <w:p w14:paraId="54314D29">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片区一</w:t>
            </w:r>
          </w:p>
        </w:tc>
        <w:tc>
          <w:tcPr>
            <w:tcW w:w="836" w:type="pct"/>
            <w:tcBorders>
              <w:top w:val="nil"/>
              <w:left w:val="nil"/>
              <w:bottom w:val="single" w:color="auto" w:sz="4" w:space="0"/>
              <w:right w:val="single" w:color="auto" w:sz="4" w:space="0"/>
            </w:tcBorders>
            <w:shd w:val="clear" w:color="auto" w:fill="auto"/>
            <w:noWrap/>
            <w:vAlign w:val="center"/>
          </w:tcPr>
          <w:p w14:paraId="7C40E674">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 xml:space="preserve">36.8362 </w:t>
            </w:r>
          </w:p>
        </w:tc>
        <w:tc>
          <w:tcPr>
            <w:tcW w:w="1329" w:type="pct"/>
            <w:tcBorders>
              <w:top w:val="nil"/>
              <w:left w:val="nil"/>
              <w:bottom w:val="single" w:color="auto" w:sz="4" w:space="0"/>
              <w:right w:val="single" w:color="auto" w:sz="4" w:space="0"/>
            </w:tcBorders>
            <w:shd w:val="clear" w:color="auto" w:fill="auto"/>
            <w:noWrap/>
            <w:vAlign w:val="center"/>
          </w:tcPr>
          <w:p w14:paraId="19E46738">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 xml:space="preserve">34.2912 </w:t>
            </w:r>
          </w:p>
        </w:tc>
        <w:tc>
          <w:tcPr>
            <w:tcW w:w="1329" w:type="pct"/>
            <w:tcBorders>
              <w:top w:val="nil"/>
              <w:left w:val="nil"/>
              <w:bottom w:val="single" w:color="auto" w:sz="4" w:space="0"/>
              <w:right w:val="single" w:color="auto" w:sz="4" w:space="0"/>
            </w:tcBorders>
            <w:shd w:val="clear" w:color="auto" w:fill="auto"/>
            <w:noWrap/>
            <w:vAlign w:val="center"/>
          </w:tcPr>
          <w:p w14:paraId="338826D2">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 xml:space="preserve">15.6984 </w:t>
            </w:r>
          </w:p>
        </w:tc>
        <w:tc>
          <w:tcPr>
            <w:tcW w:w="836" w:type="pct"/>
            <w:tcBorders>
              <w:top w:val="nil"/>
              <w:left w:val="nil"/>
              <w:bottom w:val="single" w:color="auto" w:sz="4" w:space="0"/>
              <w:right w:val="single" w:color="auto" w:sz="4" w:space="0"/>
            </w:tcBorders>
            <w:shd w:val="clear" w:color="auto" w:fill="auto"/>
            <w:noWrap/>
            <w:vAlign w:val="center"/>
          </w:tcPr>
          <w:p w14:paraId="32EEF548">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42.62%</w:t>
            </w:r>
          </w:p>
        </w:tc>
      </w:tr>
      <w:tr w14:paraId="6A5A2AFE">
        <w:tblPrEx>
          <w:tblCellMar>
            <w:top w:w="0" w:type="dxa"/>
            <w:left w:w="108" w:type="dxa"/>
            <w:bottom w:w="0" w:type="dxa"/>
            <w:right w:w="108" w:type="dxa"/>
          </w:tblCellMar>
        </w:tblPrEx>
        <w:trPr>
          <w:trHeight w:val="396" w:hRule="atLeast"/>
        </w:trPr>
        <w:tc>
          <w:tcPr>
            <w:tcW w:w="671" w:type="pct"/>
            <w:tcBorders>
              <w:top w:val="nil"/>
              <w:left w:val="single" w:color="auto" w:sz="4" w:space="0"/>
              <w:bottom w:val="single" w:color="auto" w:sz="4" w:space="0"/>
              <w:right w:val="single" w:color="auto" w:sz="4" w:space="0"/>
            </w:tcBorders>
            <w:shd w:val="clear" w:color="auto" w:fill="auto"/>
            <w:noWrap/>
            <w:vAlign w:val="center"/>
          </w:tcPr>
          <w:p w14:paraId="14A5081F">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片区二</w:t>
            </w:r>
          </w:p>
        </w:tc>
        <w:tc>
          <w:tcPr>
            <w:tcW w:w="836" w:type="pct"/>
            <w:tcBorders>
              <w:top w:val="nil"/>
              <w:left w:val="nil"/>
              <w:bottom w:val="single" w:color="auto" w:sz="4" w:space="0"/>
              <w:right w:val="single" w:color="auto" w:sz="4" w:space="0"/>
            </w:tcBorders>
            <w:shd w:val="clear" w:color="auto" w:fill="auto"/>
            <w:noWrap/>
            <w:vAlign w:val="center"/>
          </w:tcPr>
          <w:p w14:paraId="6A32FF73">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 xml:space="preserve">137.5063 </w:t>
            </w:r>
          </w:p>
        </w:tc>
        <w:tc>
          <w:tcPr>
            <w:tcW w:w="1329" w:type="pct"/>
            <w:tcBorders>
              <w:top w:val="nil"/>
              <w:left w:val="nil"/>
              <w:bottom w:val="single" w:color="auto" w:sz="4" w:space="0"/>
              <w:right w:val="single" w:color="auto" w:sz="4" w:space="0"/>
            </w:tcBorders>
            <w:shd w:val="clear" w:color="auto" w:fill="auto"/>
            <w:noWrap/>
            <w:vAlign w:val="center"/>
          </w:tcPr>
          <w:p w14:paraId="2C98B826">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 xml:space="preserve">122.4741 </w:t>
            </w:r>
          </w:p>
        </w:tc>
        <w:tc>
          <w:tcPr>
            <w:tcW w:w="1329" w:type="pct"/>
            <w:tcBorders>
              <w:top w:val="nil"/>
              <w:left w:val="nil"/>
              <w:bottom w:val="single" w:color="auto" w:sz="4" w:space="0"/>
              <w:right w:val="single" w:color="auto" w:sz="4" w:space="0"/>
            </w:tcBorders>
            <w:shd w:val="clear" w:color="auto" w:fill="auto"/>
            <w:noWrap/>
            <w:vAlign w:val="center"/>
          </w:tcPr>
          <w:p w14:paraId="31593722">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 xml:space="preserve">55.3179 </w:t>
            </w:r>
          </w:p>
        </w:tc>
        <w:tc>
          <w:tcPr>
            <w:tcW w:w="836" w:type="pct"/>
            <w:tcBorders>
              <w:top w:val="nil"/>
              <w:left w:val="nil"/>
              <w:bottom w:val="single" w:color="auto" w:sz="4" w:space="0"/>
              <w:right w:val="single" w:color="auto" w:sz="4" w:space="0"/>
            </w:tcBorders>
            <w:shd w:val="clear" w:color="auto" w:fill="auto"/>
            <w:noWrap/>
            <w:vAlign w:val="center"/>
          </w:tcPr>
          <w:p w14:paraId="0741986D">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40.23%</w:t>
            </w:r>
          </w:p>
        </w:tc>
      </w:tr>
      <w:tr w14:paraId="28058EBC">
        <w:tblPrEx>
          <w:tblCellMar>
            <w:top w:w="0" w:type="dxa"/>
            <w:left w:w="108" w:type="dxa"/>
            <w:bottom w:w="0" w:type="dxa"/>
            <w:right w:w="108" w:type="dxa"/>
          </w:tblCellMar>
        </w:tblPrEx>
        <w:trPr>
          <w:trHeight w:val="396" w:hRule="atLeast"/>
        </w:trPr>
        <w:tc>
          <w:tcPr>
            <w:tcW w:w="671" w:type="pct"/>
            <w:tcBorders>
              <w:top w:val="nil"/>
              <w:left w:val="single" w:color="auto" w:sz="4" w:space="0"/>
              <w:bottom w:val="single" w:color="auto" w:sz="4" w:space="0"/>
              <w:right w:val="single" w:color="auto" w:sz="4" w:space="0"/>
            </w:tcBorders>
            <w:shd w:val="clear" w:color="auto" w:fill="auto"/>
            <w:noWrap/>
            <w:vAlign w:val="center"/>
          </w:tcPr>
          <w:p w14:paraId="41195091">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片区三</w:t>
            </w:r>
          </w:p>
        </w:tc>
        <w:tc>
          <w:tcPr>
            <w:tcW w:w="836" w:type="pct"/>
            <w:tcBorders>
              <w:top w:val="nil"/>
              <w:left w:val="nil"/>
              <w:bottom w:val="single" w:color="auto" w:sz="4" w:space="0"/>
              <w:right w:val="single" w:color="auto" w:sz="4" w:space="0"/>
            </w:tcBorders>
            <w:shd w:val="clear" w:color="auto" w:fill="auto"/>
            <w:noWrap/>
            <w:vAlign w:val="center"/>
          </w:tcPr>
          <w:p w14:paraId="4EACE065">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 xml:space="preserve">1.7646 </w:t>
            </w:r>
          </w:p>
        </w:tc>
        <w:tc>
          <w:tcPr>
            <w:tcW w:w="1329" w:type="pct"/>
            <w:tcBorders>
              <w:top w:val="nil"/>
              <w:left w:val="nil"/>
              <w:bottom w:val="single" w:color="auto" w:sz="4" w:space="0"/>
              <w:right w:val="single" w:color="auto" w:sz="4" w:space="0"/>
            </w:tcBorders>
            <w:shd w:val="clear" w:color="auto" w:fill="auto"/>
            <w:noWrap/>
            <w:vAlign w:val="center"/>
          </w:tcPr>
          <w:p w14:paraId="0323222F">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 xml:space="preserve">1.7642 </w:t>
            </w:r>
          </w:p>
        </w:tc>
        <w:tc>
          <w:tcPr>
            <w:tcW w:w="1329" w:type="pct"/>
            <w:tcBorders>
              <w:top w:val="nil"/>
              <w:left w:val="nil"/>
              <w:bottom w:val="single" w:color="auto" w:sz="4" w:space="0"/>
              <w:right w:val="single" w:color="auto" w:sz="4" w:space="0"/>
            </w:tcBorders>
            <w:shd w:val="clear" w:color="auto" w:fill="auto"/>
            <w:noWrap/>
            <w:vAlign w:val="center"/>
          </w:tcPr>
          <w:p w14:paraId="4E34740E">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 xml:space="preserve">0.7876 </w:t>
            </w:r>
          </w:p>
        </w:tc>
        <w:tc>
          <w:tcPr>
            <w:tcW w:w="836" w:type="pct"/>
            <w:tcBorders>
              <w:top w:val="nil"/>
              <w:left w:val="nil"/>
              <w:bottom w:val="single" w:color="auto" w:sz="4" w:space="0"/>
              <w:right w:val="single" w:color="auto" w:sz="4" w:space="0"/>
            </w:tcBorders>
            <w:shd w:val="clear" w:color="auto" w:fill="auto"/>
            <w:noWrap/>
            <w:vAlign w:val="center"/>
          </w:tcPr>
          <w:p w14:paraId="7957C7CE">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44.63%</w:t>
            </w:r>
          </w:p>
        </w:tc>
      </w:tr>
      <w:tr w14:paraId="29C56A0C">
        <w:tblPrEx>
          <w:tblCellMar>
            <w:top w:w="0" w:type="dxa"/>
            <w:left w:w="108" w:type="dxa"/>
            <w:bottom w:w="0" w:type="dxa"/>
            <w:right w:w="108" w:type="dxa"/>
          </w:tblCellMar>
        </w:tblPrEx>
        <w:trPr>
          <w:trHeight w:val="396" w:hRule="atLeast"/>
        </w:trPr>
        <w:tc>
          <w:tcPr>
            <w:tcW w:w="671" w:type="pct"/>
            <w:tcBorders>
              <w:top w:val="nil"/>
              <w:left w:val="single" w:color="auto" w:sz="4" w:space="0"/>
              <w:bottom w:val="single" w:color="auto" w:sz="4" w:space="0"/>
              <w:right w:val="single" w:color="auto" w:sz="4" w:space="0"/>
            </w:tcBorders>
            <w:shd w:val="clear" w:color="auto" w:fill="auto"/>
            <w:noWrap/>
            <w:vAlign w:val="center"/>
          </w:tcPr>
          <w:p w14:paraId="0A893960">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片区四</w:t>
            </w:r>
          </w:p>
        </w:tc>
        <w:tc>
          <w:tcPr>
            <w:tcW w:w="836" w:type="pct"/>
            <w:tcBorders>
              <w:top w:val="nil"/>
              <w:left w:val="nil"/>
              <w:bottom w:val="single" w:color="auto" w:sz="4" w:space="0"/>
              <w:right w:val="single" w:color="auto" w:sz="4" w:space="0"/>
            </w:tcBorders>
            <w:shd w:val="clear" w:color="auto" w:fill="auto"/>
            <w:noWrap/>
            <w:vAlign w:val="center"/>
          </w:tcPr>
          <w:p w14:paraId="5DE06C0E">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 xml:space="preserve">3.8273 </w:t>
            </w:r>
          </w:p>
        </w:tc>
        <w:tc>
          <w:tcPr>
            <w:tcW w:w="1329" w:type="pct"/>
            <w:tcBorders>
              <w:top w:val="nil"/>
              <w:left w:val="nil"/>
              <w:bottom w:val="single" w:color="auto" w:sz="4" w:space="0"/>
              <w:right w:val="single" w:color="auto" w:sz="4" w:space="0"/>
            </w:tcBorders>
            <w:shd w:val="clear" w:color="auto" w:fill="auto"/>
            <w:noWrap/>
            <w:vAlign w:val="center"/>
          </w:tcPr>
          <w:p w14:paraId="60D6084E">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 xml:space="preserve">0.3254 </w:t>
            </w:r>
          </w:p>
        </w:tc>
        <w:tc>
          <w:tcPr>
            <w:tcW w:w="1329" w:type="pct"/>
            <w:tcBorders>
              <w:top w:val="nil"/>
              <w:left w:val="nil"/>
              <w:bottom w:val="single" w:color="auto" w:sz="4" w:space="0"/>
              <w:right w:val="single" w:color="auto" w:sz="4" w:space="0"/>
            </w:tcBorders>
            <w:shd w:val="clear" w:color="auto" w:fill="auto"/>
            <w:noWrap/>
            <w:vAlign w:val="center"/>
          </w:tcPr>
          <w:p w14:paraId="4F5F9FD5">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 xml:space="preserve">2.9805 </w:t>
            </w:r>
          </w:p>
        </w:tc>
        <w:tc>
          <w:tcPr>
            <w:tcW w:w="836" w:type="pct"/>
            <w:tcBorders>
              <w:top w:val="nil"/>
              <w:left w:val="nil"/>
              <w:bottom w:val="single" w:color="auto" w:sz="4" w:space="0"/>
              <w:right w:val="single" w:color="auto" w:sz="4" w:space="0"/>
            </w:tcBorders>
            <w:shd w:val="clear" w:color="auto" w:fill="auto"/>
            <w:noWrap/>
            <w:vAlign w:val="center"/>
          </w:tcPr>
          <w:p w14:paraId="1EA8A4CB">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77.88%</w:t>
            </w:r>
          </w:p>
        </w:tc>
      </w:tr>
      <w:tr w14:paraId="222D8B90">
        <w:tblPrEx>
          <w:tblCellMar>
            <w:top w:w="0" w:type="dxa"/>
            <w:left w:w="108" w:type="dxa"/>
            <w:bottom w:w="0" w:type="dxa"/>
            <w:right w:w="108" w:type="dxa"/>
          </w:tblCellMar>
        </w:tblPrEx>
        <w:trPr>
          <w:trHeight w:val="396" w:hRule="atLeast"/>
        </w:trPr>
        <w:tc>
          <w:tcPr>
            <w:tcW w:w="671" w:type="pct"/>
            <w:tcBorders>
              <w:top w:val="nil"/>
              <w:left w:val="single" w:color="auto" w:sz="4" w:space="0"/>
              <w:bottom w:val="single" w:color="auto" w:sz="4" w:space="0"/>
              <w:right w:val="single" w:color="auto" w:sz="4" w:space="0"/>
            </w:tcBorders>
            <w:shd w:val="clear" w:color="auto" w:fill="auto"/>
            <w:noWrap/>
            <w:vAlign w:val="center"/>
          </w:tcPr>
          <w:p w14:paraId="56F92FB9">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合计</w:t>
            </w:r>
          </w:p>
        </w:tc>
        <w:tc>
          <w:tcPr>
            <w:tcW w:w="836" w:type="pct"/>
            <w:tcBorders>
              <w:top w:val="nil"/>
              <w:left w:val="nil"/>
              <w:bottom w:val="single" w:color="auto" w:sz="4" w:space="0"/>
              <w:right w:val="single" w:color="auto" w:sz="4" w:space="0"/>
            </w:tcBorders>
            <w:shd w:val="clear" w:color="auto" w:fill="auto"/>
            <w:noWrap/>
            <w:vAlign w:val="center"/>
          </w:tcPr>
          <w:p w14:paraId="7671BA80">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 xml:space="preserve">179.9344 </w:t>
            </w:r>
          </w:p>
        </w:tc>
        <w:tc>
          <w:tcPr>
            <w:tcW w:w="1329" w:type="pct"/>
            <w:tcBorders>
              <w:top w:val="nil"/>
              <w:left w:val="nil"/>
              <w:bottom w:val="single" w:color="auto" w:sz="4" w:space="0"/>
              <w:right w:val="single" w:color="auto" w:sz="4" w:space="0"/>
            </w:tcBorders>
            <w:shd w:val="clear" w:color="auto" w:fill="auto"/>
            <w:noWrap/>
            <w:vAlign w:val="center"/>
          </w:tcPr>
          <w:p w14:paraId="6526A14B">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 xml:space="preserve">158.8548 </w:t>
            </w:r>
          </w:p>
        </w:tc>
        <w:tc>
          <w:tcPr>
            <w:tcW w:w="1329" w:type="pct"/>
            <w:tcBorders>
              <w:top w:val="nil"/>
              <w:left w:val="nil"/>
              <w:bottom w:val="single" w:color="auto" w:sz="4" w:space="0"/>
              <w:right w:val="single" w:color="auto" w:sz="4" w:space="0"/>
            </w:tcBorders>
            <w:shd w:val="clear" w:color="auto" w:fill="auto"/>
            <w:noWrap/>
            <w:vAlign w:val="center"/>
          </w:tcPr>
          <w:p w14:paraId="1DE82F87">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 xml:space="preserve">74.7844 </w:t>
            </w:r>
          </w:p>
        </w:tc>
        <w:tc>
          <w:tcPr>
            <w:tcW w:w="836" w:type="pct"/>
            <w:tcBorders>
              <w:top w:val="nil"/>
              <w:left w:val="nil"/>
              <w:bottom w:val="single" w:color="auto" w:sz="4" w:space="0"/>
              <w:right w:val="single" w:color="auto" w:sz="4" w:space="0"/>
            </w:tcBorders>
            <w:shd w:val="clear" w:color="auto" w:fill="auto"/>
            <w:noWrap/>
            <w:vAlign w:val="center"/>
          </w:tcPr>
          <w:p w14:paraId="3AF34355">
            <w:pPr>
              <w:widowControl/>
              <w:spacing w:line="240" w:lineRule="auto"/>
              <w:ind w:firstLine="0" w:firstLineChars="0"/>
              <w:jc w:val="center"/>
              <w:rPr>
                <w:rFonts w:ascii="仿宋" w:hAnsi="仿宋" w:cs="Arial"/>
                <w:kern w:val="0"/>
                <w:sz w:val="20"/>
                <w:szCs w:val="20"/>
              </w:rPr>
            </w:pPr>
            <w:r>
              <w:rPr>
                <w:rFonts w:hint="eastAsia" w:ascii="仿宋" w:hAnsi="仿宋" w:cs="Arial"/>
                <w:kern w:val="0"/>
                <w:sz w:val="20"/>
                <w:szCs w:val="20"/>
              </w:rPr>
              <w:t>41.56%</w:t>
            </w:r>
          </w:p>
        </w:tc>
      </w:tr>
    </w:tbl>
    <w:p w14:paraId="24D6E982">
      <w:pPr>
        <w:ind w:firstLine="0" w:firstLineChars="0"/>
        <w:rPr>
          <w:rFonts w:ascii="仿宋" w:hAnsi="仿宋"/>
        </w:rPr>
      </w:pPr>
    </w:p>
    <w:p w14:paraId="1CF03F0D">
      <w:pPr>
        <w:pStyle w:val="2"/>
      </w:pPr>
      <w:r>
        <w:br w:type="page"/>
      </w:r>
      <w:bookmarkStart w:id="13" w:name="_Toc125886592"/>
      <w:r>
        <w:t>第二章</w:t>
      </w:r>
      <w:r>
        <w:rPr>
          <w:rFonts w:hint="eastAsia"/>
        </w:rPr>
        <w:t xml:space="preserve"> 成片开发基本情况</w:t>
      </w:r>
      <w:bookmarkEnd w:id="13"/>
    </w:p>
    <w:p w14:paraId="4E79B086">
      <w:pPr>
        <w:pStyle w:val="3"/>
        <w:ind w:firstLine="161"/>
        <w:rPr>
          <w:shd w:val="clear" w:color="auto" w:fill="FFFFFF"/>
        </w:rPr>
      </w:pPr>
      <w:bookmarkStart w:id="14" w:name="_Toc125886593"/>
      <w:r>
        <w:rPr>
          <w:rFonts w:hint="eastAsia"/>
          <w:shd w:val="clear" w:color="auto" w:fill="FFFFFF"/>
        </w:rPr>
        <w:t>一</w:t>
      </w:r>
      <w:r>
        <w:rPr>
          <w:shd w:val="clear" w:color="auto" w:fill="FFFFFF"/>
        </w:rPr>
        <w:t>、成片开发基本情况</w:t>
      </w:r>
      <w:bookmarkEnd w:id="14"/>
    </w:p>
    <w:p w14:paraId="5B81CFA4">
      <w:pPr>
        <w:pStyle w:val="4"/>
        <w:ind w:firstLine="452"/>
      </w:pPr>
      <w:bookmarkStart w:id="15" w:name="_Toc125886594"/>
      <w:r>
        <w:rPr>
          <w:rFonts w:hint="eastAsia"/>
        </w:rPr>
        <w:t>（一）成片开发的位置、范围</w:t>
      </w:r>
      <w:bookmarkEnd w:id="15"/>
    </w:p>
    <w:p w14:paraId="25F54C36">
      <w:pPr>
        <w:ind w:firstLine="600"/>
        <w:rPr>
          <w:rFonts w:ascii="仿宋" w:hAnsi="仿宋"/>
        </w:rPr>
      </w:pPr>
      <w:r>
        <w:rPr>
          <w:rFonts w:hint="eastAsia" w:ascii="仿宋" w:hAnsi="仿宋"/>
        </w:rPr>
        <w:t>本方案成片开发范围总面积</w:t>
      </w:r>
      <w:r>
        <w:rPr>
          <w:rFonts w:ascii="仿宋" w:hAnsi="仿宋"/>
        </w:rPr>
        <w:t>179.9344公顷，拟征收土地面积158.8548公顷，</w:t>
      </w:r>
      <w:r>
        <w:rPr>
          <w:rFonts w:hint="eastAsia" w:ascii="仿宋" w:hAnsi="仿宋"/>
        </w:rPr>
        <w:t>公益性用地面积</w:t>
      </w:r>
      <w:r>
        <w:rPr>
          <w:rFonts w:ascii="仿宋" w:hAnsi="仿宋"/>
        </w:rPr>
        <w:t>74.7844</w:t>
      </w:r>
      <w:r>
        <w:rPr>
          <w:rFonts w:hint="eastAsia" w:ascii="仿宋" w:hAnsi="仿宋"/>
        </w:rPr>
        <w:t>公顷，占成片开发范围总面积比例4</w:t>
      </w:r>
      <w:r>
        <w:rPr>
          <w:rFonts w:ascii="仿宋" w:hAnsi="仿宋"/>
        </w:rPr>
        <w:t>1.56</w:t>
      </w:r>
      <w:r>
        <w:rPr>
          <w:rFonts w:hint="eastAsia" w:ascii="仿宋" w:hAnsi="仿宋"/>
        </w:rPr>
        <w:t>%，共划分四个片区，即金山片区、塔山片区、鸣山片区和洪岩片区。</w:t>
      </w:r>
    </w:p>
    <w:p w14:paraId="03ABAFAB">
      <w:pPr>
        <w:ind w:firstLine="600"/>
        <w:rPr>
          <w:rFonts w:ascii="仿宋" w:hAnsi="仿宋"/>
        </w:rPr>
      </w:pPr>
      <w:r>
        <w:rPr>
          <w:rFonts w:ascii="仿宋" w:hAnsi="仿宋"/>
        </w:rPr>
        <w:t>片区一</w:t>
      </w:r>
      <w:r>
        <w:rPr>
          <w:rFonts w:hint="eastAsia" w:ascii="仿宋" w:hAnsi="仿宋"/>
        </w:rPr>
        <w:t>（金山片区）：坐落于后港镇、双田镇和农业高新园，四至范围为东至农业高新园王家村张家边组农民集体，南至农业高新园虎山下分场金一路，西至湖塘村湖塘组农民集体，北至农业高新园王家村自然村，面积</w:t>
      </w:r>
      <w:r>
        <w:rPr>
          <w:rFonts w:ascii="仿宋" w:hAnsi="仿宋"/>
        </w:rPr>
        <w:t>36.836</w:t>
      </w:r>
      <w:r>
        <w:rPr>
          <w:rFonts w:hint="eastAsia" w:ascii="仿宋" w:hAnsi="仿宋"/>
        </w:rPr>
        <w:t>2公顷，拟征收土地面积</w:t>
      </w:r>
      <w:r>
        <w:rPr>
          <w:rFonts w:ascii="仿宋" w:hAnsi="仿宋"/>
        </w:rPr>
        <w:t>34.291</w:t>
      </w:r>
      <w:r>
        <w:rPr>
          <w:rFonts w:hint="eastAsia" w:ascii="仿宋" w:hAnsi="仿宋"/>
        </w:rPr>
        <w:t>2公顷，公益性用地面积</w:t>
      </w:r>
      <w:r>
        <w:rPr>
          <w:rFonts w:ascii="仿宋" w:hAnsi="仿宋"/>
        </w:rPr>
        <w:t>15.6984</w:t>
      </w:r>
      <w:r>
        <w:rPr>
          <w:rFonts w:hint="eastAsia" w:ascii="仿宋" w:hAnsi="仿宋"/>
        </w:rPr>
        <w:t>公顷，比例为</w:t>
      </w:r>
      <w:r>
        <w:rPr>
          <w:rFonts w:ascii="仿宋" w:hAnsi="仿宋"/>
        </w:rPr>
        <w:t>4</w:t>
      </w:r>
      <w:r>
        <w:rPr>
          <w:rFonts w:hint="eastAsia" w:ascii="仿宋" w:hAnsi="仿宋"/>
        </w:rPr>
        <w:t>2.62</w:t>
      </w:r>
      <w:r>
        <w:rPr>
          <w:rFonts w:ascii="仿宋" w:hAnsi="仿宋"/>
        </w:rPr>
        <w:t>%；</w:t>
      </w:r>
      <w:r>
        <w:rPr>
          <w:rFonts w:ascii="仿宋" w:hAnsi="仿宋"/>
        </w:rPr>
        <w:drawing>
          <wp:inline distT="0" distB="0" distL="0" distR="0">
            <wp:extent cx="5274310" cy="7459345"/>
            <wp:effectExtent l="19050" t="0" r="2540" b="0"/>
            <wp:docPr id="8" name="图片 7" descr="02片区位置图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02片区位置图01.jpg"/>
                    <pic:cNvPicPr>
                      <a:picLocks noChangeAspect="1"/>
                    </pic:cNvPicPr>
                  </pic:nvPicPr>
                  <pic:blipFill>
                    <a:blip r:embed="rId12" cstate="print"/>
                    <a:stretch>
                      <a:fillRect/>
                    </a:stretch>
                  </pic:blipFill>
                  <pic:spPr>
                    <a:xfrm>
                      <a:off x="0" y="0"/>
                      <a:ext cx="5274310" cy="7459345"/>
                    </a:xfrm>
                    <a:prstGeom prst="rect">
                      <a:avLst/>
                    </a:prstGeom>
                  </pic:spPr>
                </pic:pic>
              </a:graphicData>
            </a:graphic>
          </wp:inline>
        </w:drawing>
      </w:r>
    </w:p>
    <w:p w14:paraId="31082F16">
      <w:pPr>
        <w:ind w:firstLine="600"/>
      </w:pPr>
    </w:p>
    <w:p w14:paraId="6DB52C67">
      <w:pPr>
        <w:ind w:firstLine="600"/>
      </w:pPr>
    </w:p>
    <w:p w14:paraId="02BBE6EB">
      <w:pPr>
        <w:ind w:firstLine="600"/>
      </w:pPr>
    </w:p>
    <w:p w14:paraId="1C7980C7">
      <w:pPr>
        <w:ind w:firstLine="600"/>
        <w:rPr>
          <w:rFonts w:ascii="仿宋" w:hAnsi="仿宋"/>
        </w:rPr>
      </w:pPr>
      <w:r>
        <w:rPr>
          <w:rFonts w:ascii="仿宋" w:hAnsi="仿宋"/>
        </w:rPr>
        <w:t>片区二（塔山片区）：</w:t>
      </w:r>
      <w:r>
        <w:rPr>
          <w:rFonts w:hint="eastAsia" w:ascii="仿宋" w:hAnsi="仿宋"/>
        </w:rPr>
        <w:t>坐落于塔山街道办事处、镇桥镇和礼林镇，四至范围为东至礼林镇老屋村石塘组农民集体，南至礼林镇前鲍村横路店组农民集体，西至塔山居委会黄柏坂组农民集体，北至塔山街道办事处塔山居委会，面积</w:t>
      </w:r>
      <w:r>
        <w:rPr>
          <w:rFonts w:ascii="仿宋" w:hAnsi="仿宋"/>
        </w:rPr>
        <w:t>136.9641</w:t>
      </w:r>
      <w:r>
        <w:rPr>
          <w:rFonts w:hint="eastAsia" w:ascii="仿宋" w:hAnsi="仿宋"/>
        </w:rPr>
        <w:t>公顷，拟征收土地面积</w:t>
      </w:r>
      <w:r>
        <w:rPr>
          <w:rFonts w:ascii="仿宋" w:hAnsi="仿宋"/>
        </w:rPr>
        <w:t>121.</w:t>
      </w:r>
      <w:r>
        <w:rPr>
          <w:rFonts w:hint="eastAsia" w:ascii="仿宋" w:hAnsi="仿宋"/>
        </w:rPr>
        <w:t>9430公顷，公益性用地面</w:t>
      </w:r>
      <w:r>
        <w:rPr>
          <w:rFonts w:ascii="仿宋" w:hAnsi="仿宋"/>
        </w:rPr>
        <w:t>54.8178</w:t>
      </w:r>
      <w:r>
        <w:rPr>
          <w:rFonts w:hint="eastAsia" w:ascii="仿宋" w:hAnsi="仿宋"/>
        </w:rPr>
        <w:t>公顷，比例为</w:t>
      </w:r>
      <w:r>
        <w:rPr>
          <w:rFonts w:ascii="仿宋" w:hAnsi="仿宋"/>
        </w:rPr>
        <w:t>40.</w:t>
      </w:r>
      <w:r>
        <w:rPr>
          <w:rFonts w:hint="eastAsia" w:ascii="仿宋" w:hAnsi="仿宋"/>
        </w:rPr>
        <w:t>02</w:t>
      </w:r>
      <w:r>
        <w:rPr>
          <w:rFonts w:ascii="仿宋" w:hAnsi="仿宋"/>
        </w:rPr>
        <w:t>%</w:t>
      </w:r>
      <w:r>
        <w:rPr>
          <w:rFonts w:hint="eastAsia" w:ascii="仿宋" w:hAnsi="仿宋"/>
        </w:rPr>
        <w:t>；</w:t>
      </w:r>
    </w:p>
    <w:p w14:paraId="73A49DB8">
      <w:pPr>
        <w:ind w:firstLine="600"/>
        <w:rPr>
          <w:rFonts w:ascii="仿宋" w:hAnsi="仿宋"/>
        </w:rPr>
      </w:pPr>
    </w:p>
    <w:p w14:paraId="139EECF1">
      <w:pPr>
        <w:ind w:firstLine="0" w:firstLineChars="0"/>
        <w:jc w:val="center"/>
      </w:pPr>
      <w:r>
        <w:drawing>
          <wp:inline distT="0" distB="0" distL="0" distR="0">
            <wp:extent cx="5274310" cy="7459345"/>
            <wp:effectExtent l="19050" t="0" r="2540" b="0"/>
            <wp:docPr id="9" name="图片 8" descr="02片区位置图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02片区位置图02.jpg"/>
                    <pic:cNvPicPr>
                      <a:picLocks noChangeAspect="1"/>
                    </pic:cNvPicPr>
                  </pic:nvPicPr>
                  <pic:blipFill>
                    <a:blip r:embed="rId13" cstate="print"/>
                    <a:stretch>
                      <a:fillRect/>
                    </a:stretch>
                  </pic:blipFill>
                  <pic:spPr>
                    <a:xfrm>
                      <a:off x="0" y="0"/>
                      <a:ext cx="5274310" cy="7459345"/>
                    </a:xfrm>
                    <a:prstGeom prst="rect">
                      <a:avLst/>
                    </a:prstGeom>
                  </pic:spPr>
                </pic:pic>
              </a:graphicData>
            </a:graphic>
          </wp:inline>
        </w:drawing>
      </w:r>
    </w:p>
    <w:p w14:paraId="5F3071EC">
      <w:pPr>
        <w:ind w:firstLine="0" w:firstLineChars="0"/>
      </w:pPr>
    </w:p>
    <w:p w14:paraId="5404F120">
      <w:pPr>
        <w:ind w:firstLine="600"/>
      </w:pPr>
    </w:p>
    <w:p w14:paraId="59230966">
      <w:pPr>
        <w:ind w:firstLine="600"/>
      </w:pPr>
    </w:p>
    <w:p w14:paraId="044E92AF">
      <w:pPr>
        <w:ind w:firstLine="600"/>
        <w:rPr>
          <w:rFonts w:ascii="仿宋" w:hAnsi="仿宋"/>
        </w:rPr>
      </w:pPr>
      <w:r>
        <w:rPr>
          <w:rFonts w:hint="eastAsia" w:ascii="仿宋" w:hAnsi="仿宋"/>
        </w:rPr>
        <w:t>片区三（鸣山片区）：坐落于乐港镇，四至范围为东至乐港镇龙塘村徐家自然村农田，南至乐港镇龙塘村徐家自然村山林，西至鄱阳县，北至乐港镇龙塘村杨范组农民集体，面积</w:t>
      </w:r>
      <w:r>
        <w:rPr>
          <w:rFonts w:ascii="仿宋" w:hAnsi="仿宋"/>
        </w:rPr>
        <w:t>1.764</w:t>
      </w:r>
      <w:r>
        <w:rPr>
          <w:rFonts w:hint="eastAsia" w:ascii="仿宋" w:hAnsi="仿宋"/>
        </w:rPr>
        <w:t>7公顷，拟征收土地面积</w:t>
      </w:r>
      <w:r>
        <w:rPr>
          <w:rFonts w:ascii="仿宋" w:hAnsi="仿宋"/>
        </w:rPr>
        <w:t>1.7642</w:t>
      </w:r>
      <w:r>
        <w:rPr>
          <w:rFonts w:hint="eastAsia" w:ascii="仿宋" w:hAnsi="仿宋"/>
        </w:rPr>
        <w:t>公顷，公益性用地面积</w:t>
      </w:r>
      <w:r>
        <w:rPr>
          <w:rFonts w:ascii="仿宋" w:hAnsi="仿宋"/>
        </w:rPr>
        <w:t>0.787</w:t>
      </w:r>
      <w:r>
        <w:rPr>
          <w:rFonts w:hint="eastAsia" w:ascii="仿宋" w:hAnsi="仿宋"/>
        </w:rPr>
        <w:t>8公顷，比例为44.64</w:t>
      </w:r>
      <w:r>
        <w:rPr>
          <w:rFonts w:ascii="仿宋" w:hAnsi="仿宋"/>
        </w:rPr>
        <w:t>%</w:t>
      </w:r>
      <w:r>
        <w:rPr>
          <w:rFonts w:hint="eastAsia" w:ascii="仿宋" w:hAnsi="仿宋"/>
        </w:rPr>
        <w:t>；</w:t>
      </w:r>
    </w:p>
    <w:p w14:paraId="435001A9">
      <w:pPr>
        <w:ind w:firstLine="600"/>
      </w:pPr>
    </w:p>
    <w:p w14:paraId="35D002F4">
      <w:pPr>
        <w:ind w:firstLine="0" w:firstLineChars="0"/>
      </w:pPr>
      <w:r>
        <w:drawing>
          <wp:inline distT="0" distB="0" distL="0" distR="0">
            <wp:extent cx="5274310" cy="7459345"/>
            <wp:effectExtent l="19050" t="0" r="2540" b="0"/>
            <wp:docPr id="10" name="图片 9" descr="02片区位置图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02片区位置图03.jpg"/>
                    <pic:cNvPicPr>
                      <a:picLocks noChangeAspect="1"/>
                    </pic:cNvPicPr>
                  </pic:nvPicPr>
                  <pic:blipFill>
                    <a:blip r:embed="rId14" cstate="print"/>
                    <a:stretch>
                      <a:fillRect/>
                    </a:stretch>
                  </pic:blipFill>
                  <pic:spPr>
                    <a:xfrm>
                      <a:off x="0" y="0"/>
                      <a:ext cx="5274310" cy="7459345"/>
                    </a:xfrm>
                    <a:prstGeom prst="rect">
                      <a:avLst/>
                    </a:prstGeom>
                  </pic:spPr>
                </pic:pic>
              </a:graphicData>
            </a:graphic>
          </wp:inline>
        </w:drawing>
      </w:r>
    </w:p>
    <w:p w14:paraId="08406BEA">
      <w:pPr>
        <w:widowControl/>
        <w:spacing w:line="240" w:lineRule="auto"/>
        <w:ind w:firstLine="0" w:firstLineChars="0"/>
        <w:jc w:val="left"/>
        <w:rPr>
          <w:rFonts w:ascii="仿宋" w:hAnsi="仿宋"/>
        </w:rPr>
      </w:pPr>
      <w:r>
        <w:rPr>
          <w:rFonts w:ascii="仿宋" w:hAnsi="仿宋"/>
        </w:rPr>
        <w:br w:type="page"/>
      </w:r>
    </w:p>
    <w:p w14:paraId="11A0DF69">
      <w:pPr>
        <w:ind w:firstLine="600"/>
        <w:rPr>
          <w:rFonts w:ascii="仿宋" w:hAnsi="仿宋"/>
        </w:rPr>
      </w:pPr>
      <w:r>
        <w:rPr>
          <w:rFonts w:hint="eastAsia" w:ascii="仿宋" w:hAnsi="仿宋"/>
        </w:rPr>
        <w:t>片区四（洪岩片区）：坐落于洪岩镇，四至范围为东至乐平市樱花大道，南至洪岩镇罗家洲农科所，西至洪岩镇官庄水，北至洪岩镇官庄水，面积</w:t>
      </w:r>
      <w:r>
        <w:rPr>
          <w:rFonts w:ascii="仿宋" w:hAnsi="仿宋"/>
        </w:rPr>
        <w:t>3.8273</w:t>
      </w:r>
      <w:r>
        <w:rPr>
          <w:rFonts w:hint="eastAsia" w:ascii="仿宋" w:hAnsi="仿宋"/>
        </w:rPr>
        <w:t>公顷，拟征收土地面积</w:t>
      </w:r>
      <w:r>
        <w:rPr>
          <w:rFonts w:ascii="仿宋" w:hAnsi="仿宋"/>
        </w:rPr>
        <w:t>0.3254</w:t>
      </w:r>
      <w:r>
        <w:rPr>
          <w:rFonts w:hint="eastAsia" w:ascii="仿宋" w:hAnsi="仿宋"/>
        </w:rPr>
        <w:t>公顷，公益性用地面积</w:t>
      </w:r>
      <w:r>
        <w:rPr>
          <w:rFonts w:ascii="仿宋" w:hAnsi="仿宋"/>
        </w:rPr>
        <w:t>2.9805</w:t>
      </w:r>
      <w:r>
        <w:rPr>
          <w:rFonts w:hint="eastAsia" w:ascii="仿宋" w:hAnsi="仿宋"/>
        </w:rPr>
        <w:t>公顷，比例为</w:t>
      </w:r>
      <w:r>
        <w:rPr>
          <w:rFonts w:ascii="仿宋" w:hAnsi="仿宋"/>
        </w:rPr>
        <w:t>77.88%</w:t>
      </w:r>
      <w:r>
        <w:rPr>
          <w:rFonts w:hint="eastAsia" w:ascii="仿宋" w:hAnsi="仿宋"/>
        </w:rPr>
        <w:t>；</w:t>
      </w:r>
    </w:p>
    <w:p w14:paraId="413AF438">
      <w:pPr>
        <w:widowControl/>
        <w:spacing w:line="240" w:lineRule="auto"/>
        <w:ind w:firstLine="0" w:firstLineChars="0"/>
        <w:jc w:val="left"/>
      </w:pPr>
    </w:p>
    <w:p w14:paraId="65153A92">
      <w:pPr>
        <w:widowControl/>
        <w:spacing w:line="240" w:lineRule="auto"/>
        <w:ind w:firstLine="0" w:firstLineChars="0"/>
        <w:jc w:val="left"/>
      </w:pPr>
      <w:r>
        <w:br w:type="page"/>
      </w:r>
      <w:r>
        <w:drawing>
          <wp:inline distT="0" distB="0" distL="0" distR="0">
            <wp:extent cx="5274310" cy="74599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p>
    <w:p w14:paraId="54B9B93D">
      <w:pPr>
        <w:widowControl/>
        <w:spacing w:line="240" w:lineRule="auto"/>
        <w:ind w:firstLine="0" w:firstLineChars="0"/>
        <w:jc w:val="left"/>
        <w:rPr>
          <w:rFonts w:eastAsia="黑体"/>
          <w:b/>
          <w:bCs/>
          <w:kern w:val="44"/>
          <w:sz w:val="36"/>
          <w:szCs w:val="44"/>
        </w:rPr>
      </w:pPr>
    </w:p>
    <w:p w14:paraId="3F768D22">
      <w:pPr>
        <w:pStyle w:val="2"/>
        <w:ind w:firstLine="723"/>
      </w:pPr>
      <w:bookmarkStart w:id="16" w:name="_Toc125886595"/>
      <w:r>
        <w:rPr>
          <w:rFonts w:hint="eastAsia"/>
        </w:rPr>
        <w:t>第三章 实施保障措施</w:t>
      </w:r>
      <w:bookmarkEnd w:id="16"/>
    </w:p>
    <w:p w14:paraId="00604757">
      <w:pPr>
        <w:pStyle w:val="3"/>
        <w:ind w:firstLine="161"/>
      </w:pPr>
      <w:bookmarkStart w:id="17" w:name="_Toc125886596"/>
      <w:r>
        <w:rPr>
          <w:rFonts w:hint="eastAsia"/>
        </w:rPr>
        <w:t>一、组织保障</w:t>
      </w:r>
      <w:bookmarkEnd w:id="17"/>
    </w:p>
    <w:p w14:paraId="5231FFC3">
      <w:pPr>
        <w:ind w:firstLine="600"/>
      </w:pPr>
      <w:r>
        <w:rPr>
          <w:rFonts w:hint="eastAsia"/>
        </w:rPr>
        <w:t>乐平市人民政府把土地征收成片开发工作纳入政府工作计划组织实施，所涉乡镇人民政府按照实施计划和任务完成土地征收成片开发工作，乐平市人民政府成立土地征收成片开发工作领导组，领导组办公室设在自然资源主管部门，各有关部门按照各自职责，通力合作，站在讲政治、顾大局的高度，履职尽责、求真务实、敢于硬碰，认真组织实施，加强工作协调，确保该项工作落到实处。</w:t>
      </w:r>
    </w:p>
    <w:p w14:paraId="35546E5F">
      <w:pPr>
        <w:pStyle w:val="3"/>
        <w:ind w:firstLine="161"/>
      </w:pPr>
      <w:bookmarkStart w:id="18" w:name="_Toc125886597"/>
      <w:r>
        <w:rPr>
          <w:rFonts w:hint="eastAsia"/>
        </w:rPr>
        <w:t>二、政策保障</w:t>
      </w:r>
      <w:bookmarkEnd w:id="18"/>
    </w:p>
    <w:p w14:paraId="5D31D7C7">
      <w:pPr>
        <w:ind w:firstLine="600"/>
      </w:pPr>
      <w:r>
        <w:rPr>
          <w:rFonts w:hint="eastAsia"/>
        </w:rPr>
        <w:t>土地征收前应加强农村征地相关法律法规知识和政策的宣传和普及，相关部门可采取丰富多样的形式深入宣传普及《土地管理法》等，通过全方位、立体化、高密度的宣传，使广大被征地农户能够了解相关法律政策，取得群众的理解、支持、参与，引导农户在依法维护自身合法权益的同时，能够积极配合乐平市成片开发方案编制和征地顺利开展，为乐平市成片开发方案编制及征地拆迁工作顺利进行营造良好的社会环境和舆论氛围。</w:t>
      </w:r>
    </w:p>
    <w:p w14:paraId="30943F23">
      <w:pPr>
        <w:pStyle w:val="3"/>
        <w:ind w:firstLine="161"/>
      </w:pPr>
      <w:bookmarkStart w:id="19" w:name="_Toc125886598"/>
      <w:r>
        <w:rPr>
          <w:rFonts w:hint="eastAsia"/>
        </w:rPr>
        <w:t>三、征收程序保障</w:t>
      </w:r>
      <w:bookmarkEnd w:id="19"/>
    </w:p>
    <w:p w14:paraId="460D334F">
      <w:pPr>
        <w:ind w:firstLine="600"/>
      </w:pPr>
      <w:r>
        <w:rPr>
          <w:rFonts w:hint="eastAsia"/>
        </w:rPr>
        <w:t>实施土地征收工作过程中，应严格落实《中华人民共和国土地管理法》、《江西省征地土地管理办法》和《乐平市征地片区综合地价》等的相关规定，保证土地征收程序依法合规，建立土地征收成片开发方案编制、实施、修改全过程监督机制，将方案编制、管理和实施纳入法制化轨道、确立方案的权威性和公正性。保障被征收土地农民的知情权、参与权、监督权，切实保护失地农民利益。征收程序包括以下几方面：</w:t>
      </w:r>
    </w:p>
    <w:p w14:paraId="0BD7FCC0">
      <w:pPr>
        <w:ind w:firstLine="600"/>
      </w:pPr>
      <w:r>
        <w:rPr>
          <w:rFonts w:hint="eastAsia"/>
        </w:rPr>
        <w:t>1、发布征收土地预公告</w:t>
      </w:r>
    </w:p>
    <w:p w14:paraId="29F25E47">
      <w:pPr>
        <w:ind w:firstLine="600"/>
      </w:pPr>
      <w:r>
        <w:rPr>
          <w:rFonts w:hint="eastAsia"/>
        </w:rPr>
        <w:t>乐平市人民政府发布征收土地预公告，启动土地征收。征收土地预公告应当包括征收范围、征收目的、开展土地现状调查的安排等内容。</w:t>
      </w:r>
    </w:p>
    <w:p w14:paraId="7D2E4C9B">
      <w:pPr>
        <w:ind w:firstLine="600"/>
      </w:pPr>
      <w:r>
        <w:rPr>
          <w:rFonts w:hint="eastAsia"/>
        </w:rPr>
        <w:t>2、开展土地现状调查</w:t>
      </w:r>
    </w:p>
    <w:p w14:paraId="63D12F1E">
      <w:pPr>
        <w:ind w:firstLine="600"/>
      </w:pPr>
      <w:r>
        <w:rPr>
          <w:rFonts w:hint="eastAsia"/>
        </w:rPr>
        <w:t>对拟征收土地开展土地现状调查，应当查明土地的位置、权属、地类、面积，以及农村村民住宅、其他地上附着物和青苗等的权属、种类、数量等情况。</w:t>
      </w:r>
    </w:p>
    <w:p w14:paraId="4E603C94">
      <w:pPr>
        <w:ind w:firstLine="600"/>
      </w:pPr>
      <w:r>
        <w:rPr>
          <w:rFonts w:hint="eastAsia"/>
        </w:rPr>
        <w:t>3、开展社会稳定风险评估</w:t>
      </w:r>
    </w:p>
    <w:p w14:paraId="00BDD73C">
      <w:pPr>
        <w:ind w:firstLine="600"/>
      </w:pPr>
      <w:r>
        <w:rPr>
          <w:rFonts w:hint="eastAsia"/>
        </w:rPr>
        <w:t>对拟征收土地开展社会稳定风险评估，应当对征收土地的社会稳定风险状况进行综合研判，确定风险点，提出风险防范措施和处置预案。</w:t>
      </w:r>
    </w:p>
    <w:p w14:paraId="7C21C4A0">
      <w:pPr>
        <w:ind w:firstLine="600"/>
      </w:pPr>
      <w:r>
        <w:rPr>
          <w:rFonts w:hint="eastAsia"/>
        </w:rPr>
        <w:t>4、拟定征地补偿安置方案</w:t>
      </w:r>
    </w:p>
    <w:p w14:paraId="0E610CB7">
      <w:pPr>
        <w:ind w:firstLine="600"/>
      </w:pPr>
      <w:r>
        <w:rPr>
          <w:rFonts w:hint="eastAsia"/>
        </w:rPr>
        <w:t>依据社会稳定风险评估结果，结合土地现状调查情况，组织自然资源、财政、农业农村、人力资源和社会保障等有关部门拟定征地补偿安置方案。</w:t>
      </w:r>
    </w:p>
    <w:p w14:paraId="31AAB823">
      <w:pPr>
        <w:ind w:firstLine="600"/>
      </w:pPr>
      <w:r>
        <w:rPr>
          <w:rFonts w:hint="eastAsia"/>
        </w:rPr>
        <w:t>5、发布征地补偿安置方案公告</w:t>
      </w:r>
    </w:p>
    <w:p w14:paraId="13B264CA">
      <w:pPr>
        <w:ind w:firstLine="600"/>
      </w:pPr>
      <w:r>
        <w:rPr>
          <w:rFonts w:hint="eastAsia"/>
        </w:rPr>
        <w:t>征地补偿安置方案拟定后，乐平市人民政府在拟征收土地所在的乡（镇）和村、村民小组范围内公告，听取被征地的农村集体经济组织及其成员、村民委员会和其他利害关系人的意见，公告时间不少于三十日。</w:t>
      </w:r>
    </w:p>
    <w:p w14:paraId="2ECEFB89">
      <w:pPr>
        <w:ind w:firstLine="600"/>
      </w:pPr>
      <w:r>
        <w:rPr>
          <w:rFonts w:hint="eastAsia"/>
        </w:rPr>
        <w:t>6、组织听证</w:t>
      </w:r>
    </w:p>
    <w:p w14:paraId="15CEB955">
      <w:pPr>
        <w:ind w:firstLine="600"/>
      </w:pPr>
      <w:r>
        <w:rPr>
          <w:rFonts w:hint="eastAsia"/>
        </w:rPr>
        <w:t>多数被征地的农村集体经济组织成员认为拟定的征地补偿安置方案不符合法律、法规规定的，乐平市人民政府应当组织听证，并根据法律、法规的规定和听证会情况修改安置补偿方案。</w:t>
      </w:r>
    </w:p>
    <w:p w14:paraId="37B267F1">
      <w:pPr>
        <w:ind w:firstLine="600"/>
      </w:pPr>
      <w:r>
        <w:rPr>
          <w:rFonts w:hint="eastAsia"/>
        </w:rPr>
        <w:t>7、办理征地补偿登记</w:t>
      </w:r>
    </w:p>
    <w:p w14:paraId="26C8F64F">
      <w:pPr>
        <w:ind w:firstLine="600"/>
      </w:pPr>
      <w:r>
        <w:rPr>
          <w:rFonts w:hint="eastAsia"/>
        </w:rPr>
        <w:t>拟征收土地的所有权人、使用权人应当在公告规定期限内，持不动产权属证明材料办理补偿登记。</w:t>
      </w:r>
    </w:p>
    <w:p w14:paraId="208409E0">
      <w:pPr>
        <w:ind w:firstLine="600"/>
      </w:pPr>
      <w:r>
        <w:rPr>
          <w:rFonts w:hint="eastAsia"/>
        </w:rPr>
        <w:t>8、签订征地补偿安置协议</w:t>
      </w:r>
    </w:p>
    <w:p w14:paraId="409680E1">
      <w:pPr>
        <w:ind w:firstLine="600"/>
      </w:pPr>
      <w:r>
        <w:rPr>
          <w:rFonts w:hint="eastAsia"/>
        </w:rPr>
        <w:t>乐平市人民政府根据法律、法规规定和听证会等情况确定征地补偿安置方案后，应当组织有关部门与拟征收土地的所有权人、使用权人签订征地补偿安置协议。</w:t>
      </w:r>
    </w:p>
    <w:p w14:paraId="2FFA7864">
      <w:pPr>
        <w:ind w:firstLine="600"/>
      </w:pPr>
      <w:r>
        <w:rPr>
          <w:rFonts w:hint="eastAsia"/>
        </w:rPr>
        <w:t>9、申请土地征收审批</w:t>
      </w:r>
    </w:p>
    <w:p w14:paraId="30D7B592">
      <w:pPr>
        <w:ind w:firstLine="600"/>
      </w:pPr>
      <w:r>
        <w:rPr>
          <w:rFonts w:hint="eastAsia"/>
        </w:rPr>
        <w:t>对土地征收进行申请审批，及时落实土地补偿费、安置补助费、社会保障费用等，并保证给与公平、合理的补偿，保障被征地农民的合法权益。</w:t>
      </w:r>
    </w:p>
    <w:p w14:paraId="7B934D05">
      <w:pPr>
        <w:ind w:firstLine="600"/>
      </w:pPr>
      <w:r>
        <w:rPr>
          <w:rFonts w:hint="eastAsia"/>
        </w:rPr>
        <w:t>10、发布土地征收公告</w:t>
      </w:r>
    </w:p>
    <w:p w14:paraId="3B4E9434">
      <w:pPr>
        <w:ind w:firstLine="600"/>
      </w:pPr>
      <w:r>
        <w:rPr>
          <w:rFonts w:hint="eastAsia"/>
        </w:rPr>
        <w:t>征收土地申请经依法批准后，乐平市人民政府应当自收到批准文件之日起十五个工作日内在拟征收土地所在的乡（镇）和村、村民小组范围内发布征收土地公告，公布征收范围、征收时间等具体工作安排。</w:t>
      </w:r>
    </w:p>
    <w:p w14:paraId="0DD11148">
      <w:pPr>
        <w:pStyle w:val="3"/>
        <w:ind w:firstLine="161"/>
      </w:pPr>
      <w:bookmarkStart w:id="20" w:name="_Toc125886599"/>
      <w:r>
        <w:rPr>
          <w:rFonts w:hint="eastAsia"/>
        </w:rPr>
        <w:t>四、经费保障</w:t>
      </w:r>
      <w:bookmarkEnd w:id="20"/>
    </w:p>
    <w:p w14:paraId="26F9F895">
      <w:pPr>
        <w:ind w:firstLine="600"/>
        <w:rPr>
          <w:rFonts w:ascii="仿宋" w:hAnsi="仿宋"/>
        </w:rPr>
      </w:pPr>
      <w:r>
        <w:rPr>
          <w:rFonts w:hint="eastAsia" w:ascii="仿宋" w:hAnsi="仿宋"/>
        </w:rPr>
        <w:t>为积极稳妥地做好本次乐平市成片开发建设方案集体土地征收（用）工作，妥善处理好被征收（用）土地的单位和个人生产生活问题，及时为项目建设提供用地，乐平市人民政府应及时落实土地补偿费、安置补助费、农村村民住宅以及其他地上附着物和青苗等的补偿费用、社会保障费用等，并保证足额到位，专款专用。</w:t>
      </w:r>
    </w:p>
    <w:p w14:paraId="13BB6CBD">
      <w:pPr>
        <w:ind w:firstLine="600"/>
      </w:pPr>
      <w:r>
        <w:rPr>
          <w:rFonts w:hint="eastAsia" w:ascii="仿宋" w:hAnsi="仿宋"/>
        </w:rPr>
        <w:t>依据新修订《中华人民共和国土地管理法》、《中华人民共和国城乡规划法》及《国有土地上房屋征收与补偿条例》等法律法规，按照《江西省人民政府关于公布省征地区片综合地价的通知》（赣府字（2020）9号）文件有关要求，结合各片区涉及乡镇近年征地实际，科学合理、准确可行</w:t>
      </w:r>
      <w:r>
        <w:rPr>
          <w:rFonts w:hint="eastAsia"/>
        </w:rPr>
        <w:t>的制定土地征收方案，并做好发布土地征收启动公告、开展拟征收土地现状调查和社会稳定风险评估、制定征地补偿安置方案并对征地补偿方案进行公告、组织召开听证会、办理补偿登记及签订补偿安置协议等工作。待该方案取得批复后，依法依规开展土地征收工作，切实保障被征地农户的合法权益。</w:t>
      </w:r>
    </w:p>
    <w:p w14:paraId="4323CD8C">
      <w:pPr>
        <w:pStyle w:val="3"/>
        <w:ind w:firstLine="161"/>
      </w:pPr>
      <w:bookmarkStart w:id="21" w:name="_Toc125886600"/>
      <w:r>
        <w:rPr>
          <w:rFonts w:hint="eastAsia"/>
        </w:rPr>
        <w:t>五、农民利益保障</w:t>
      </w:r>
      <w:bookmarkEnd w:id="21"/>
    </w:p>
    <w:p w14:paraId="78062F8D">
      <w:pPr>
        <w:ind w:firstLine="600"/>
      </w:pPr>
      <w:r>
        <w:rPr>
          <w:rFonts w:hint="eastAsia"/>
        </w:rPr>
        <w:t>安置补偿是土地征收的关键，是农民关注的焦点，也是大多数不</w:t>
      </w:r>
      <w:r>
        <w:rPr>
          <w:rFonts w:hint="eastAsia" w:ascii="仿宋" w:hAnsi="仿宋"/>
        </w:rPr>
        <w:t>稳定事件的诱因。为维护被征地农民和农村集体经济组织的合法权益，规范征地补偿程序，根据《中华人民共和国土地管理法》、江西省人民政府《关于公布全省征地区片综合地价的通知》（赣府字〔2020〕9 号）、</w:t>
      </w:r>
      <w:r>
        <w:rPr>
          <w:rFonts w:hint="eastAsia"/>
        </w:rPr>
        <w:t>乐平市人民政府《关于调整乐平市征地补偿标准的通知》和《乐平市征地片区综合地价》等文件规定开展工作。征收土地应当给予公平、合理的补偿，保障被征地农民原有生活水平不降低、长远生计有保障；征收土地应当依法及时足额支付土地补偿费、安置补助费以及农村村民住宅、其他地上附着物和青苗等的补偿费用，并安排被征地农民的社会保障费等。具体措施有：</w:t>
      </w:r>
    </w:p>
    <w:p w14:paraId="11913EBA">
      <w:pPr>
        <w:ind w:firstLine="600"/>
      </w:pPr>
      <w:r>
        <w:rPr>
          <w:rFonts w:hint="eastAsia"/>
        </w:rPr>
        <w:t>1、对于被征农民的农业生产安置，被征收城市规划区外的农民集体土地，可以利用农村集体预留机动地，承包农户意愿交回的承包地，或者通过流转其他农户的承包地，以及开发整理新增加的耕地等，首先要考虑到农民有必要的耕作土地，继续从事农业生产。</w:t>
      </w:r>
    </w:p>
    <w:p w14:paraId="2E651F9F">
      <w:pPr>
        <w:ind w:firstLine="600"/>
      </w:pPr>
      <w:r>
        <w:rPr>
          <w:rFonts w:hint="eastAsia"/>
        </w:rPr>
        <w:t>2、对于被征地农民重新就业安置，有关部门应当积极创造条件，向被征地农民提供免费的劳动技能培训，安排相应的工作岗位，在同等条件下用地单位要优先吸收被征地农民就业。征收城市规划区内的农民集体土地应当将因征地导致无地的农民，纳入城镇就业体系，并建立社会保障制度。</w:t>
      </w:r>
    </w:p>
    <w:p w14:paraId="119F869E">
      <w:pPr>
        <w:ind w:firstLine="600"/>
      </w:pPr>
      <w:r>
        <w:rPr>
          <w:rFonts w:hint="eastAsia"/>
        </w:rPr>
        <w:t>3、对于被征地农民入股分红安置，对有长期稳定收益的项目用地，在农民自愿的前提下，被征地农村集体经济组织经与用地单位协商，可以将征地补偿安置费用入股，或以经批准的建设用地土地使用权作价入股，农村集体经济组织和农户通过合同约定以优先入股的方式获得收益。</w:t>
      </w:r>
    </w:p>
    <w:p w14:paraId="56764FEB">
      <w:pPr>
        <w:ind w:firstLine="600"/>
      </w:pPr>
      <w:r>
        <w:rPr>
          <w:rFonts w:hint="eastAsia"/>
        </w:rPr>
        <w:t>4、对于被征地农民异地移民安置，对于本地区确实无法因征地而导致无地的农民提供基本生产生活条件的，在充分征求被征地农村集体经济组织和农户意见的前提下，可由政府统一组织，实行异地安置。</w:t>
      </w:r>
    </w:p>
    <w:p w14:paraId="1785948C">
      <w:pPr>
        <w:widowControl/>
        <w:spacing w:line="240" w:lineRule="auto"/>
        <w:ind w:firstLine="0" w:firstLineChars="0"/>
        <w:jc w:val="left"/>
        <w:rPr>
          <w:rFonts w:eastAsia="黑体"/>
          <w:b/>
          <w:bCs/>
          <w:kern w:val="44"/>
          <w:sz w:val="36"/>
          <w:szCs w:val="44"/>
        </w:rPr>
      </w:pPr>
      <w:r>
        <w:br w:type="page"/>
      </w:r>
    </w:p>
    <w:p w14:paraId="3EB2BD07">
      <w:pPr>
        <w:pStyle w:val="2"/>
      </w:pPr>
      <w:bookmarkStart w:id="22" w:name="_Toc125886601"/>
      <w:r>
        <w:rPr>
          <w:rFonts w:hint="eastAsia"/>
        </w:rPr>
        <w:t>第四章 结论</w:t>
      </w:r>
      <w:bookmarkEnd w:id="22"/>
    </w:p>
    <w:p w14:paraId="5CEBF34A">
      <w:pPr>
        <w:ind w:firstLine="600"/>
        <w:rPr>
          <w:rFonts w:ascii="仿宋" w:hAnsi="仿宋"/>
        </w:rPr>
      </w:pPr>
      <w:r>
        <w:rPr>
          <w:rFonts w:hint="eastAsia"/>
        </w:rPr>
        <w:t>按照《中华人</w:t>
      </w:r>
      <w:r>
        <w:rPr>
          <w:rFonts w:hint="eastAsia" w:ascii="仿宋" w:hAnsi="仿宋"/>
        </w:rPr>
        <w:t>民共和国土地管理法》第四十五条规定、《土地征收成片开发标准（试行）》（自然资规〔2020〕5号）和《江西省人民政府办公厅关于执行土地征收成片开发标准（试行）的指导意见》（赣府厅发〔2021〕2号），乐平市人民政府组织编制了《乐平市土地征收成片开发方案》，方案实施对落实相关政策文件要求、保障乐平市建设用地供给、促进相关规划实施、完善区域居住功能、引导产业合理布局和促进经济增长具有重要意义。</w:t>
      </w:r>
    </w:p>
    <w:p w14:paraId="11D361D2">
      <w:pPr>
        <w:ind w:firstLine="600"/>
        <w:rPr>
          <w:rFonts w:ascii="仿宋" w:hAnsi="仿宋"/>
        </w:rPr>
      </w:pPr>
      <w:r>
        <w:rPr>
          <w:rFonts w:hint="eastAsia" w:ascii="仿宋" w:hAnsi="仿宋"/>
        </w:rPr>
        <w:t>本成片开发方案符合《中华人民共和国土地管理法》第四十五条规定、《土地征收成片开发标准（试行）》（自然资规〔2020〕5号）和《江西省人民政府办公厅关于执行土地征收成片开发标准（试行）的指导意见》（赣府厅发〔2021〕2号）相关要求，片区选址符合有关规定，实施计划合理可行，工作保障措施得力，可以提高土地利用效率，经济效益、社会效益和生态效益，对乐平市开发建设、国民经济和社会发展、旅游业发展有着重要的促进作用。</w:t>
      </w:r>
    </w:p>
    <w:sectPr>
      <w:pgSz w:w="11906" w:h="16838"/>
      <w:pgMar w:top="1440" w:right="1800" w:bottom="1440" w:left="1800" w:header="851" w:footer="992" w:gutter="0"/>
      <w:pgNumType w:start="1"/>
      <w:cols w:space="425" w:num="1"/>
      <w:docGrid w:type="lines" w:linePitch="40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000001FF"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Arial">
    <w:altName w:val="DejaVu Sans"/>
    <w:panose1 w:val="020B0604020202020204"/>
    <w:charset w:val="00"/>
    <w:family w:val="swiss"/>
    <w:pitch w:val="default"/>
    <w:sig w:usb0="00000000" w:usb1="00000000" w:usb2="00000009" w:usb3="00000000" w:csb0="000001FF" w:csb1="00000000"/>
  </w:font>
  <w:font w:name="仿宋_GB2312">
    <w:altName w:val="方正仿宋_GBK"/>
    <w:panose1 w:val="00000000000000000000"/>
    <w:charset w:val="86"/>
    <w:family w:val="auto"/>
    <w:pitch w:val="default"/>
    <w:sig w:usb0="00000000" w:usb1="00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3159911"/>
      <w:docPartObj>
        <w:docPartGallery w:val="AutoText"/>
      </w:docPartObj>
    </w:sdtPr>
    <w:sdtContent>
      <w:p w14:paraId="7558DB96">
        <w:pPr>
          <w:pStyle w:val="11"/>
          <w:ind w:firstLine="360"/>
          <w:jc w:val="center"/>
        </w:pPr>
        <w:r>
          <w:fldChar w:fldCharType="begin"/>
        </w:r>
        <w:r>
          <w:instrText xml:space="preserve">PAGE   \* MERGEFORMAT</w:instrText>
        </w:r>
        <w:r>
          <w:fldChar w:fldCharType="separate"/>
        </w:r>
        <w:r>
          <w:rPr>
            <w:lang w:val="zh-CN"/>
          </w:rPr>
          <w:t>5</w:t>
        </w:r>
        <w:r>
          <w:fldChar w:fldCharType="end"/>
        </w:r>
      </w:p>
    </w:sdtContent>
  </w:sdt>
  <w:p w14:paraId="4CAB7A92">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0E760">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434625"/>
      <w:docPartObj>
        <w:docPartGallery w:val="AutoText"/>
      </w:docPartObj>
    </w:sdtPr>
    <w:sdtContent>
      <w:p w14:paraId="2158ACBC">
        <w:pPr>
          <w:pStyle w:val="11"/>
          <w:ind w:firstLine="360"/>
          <w:jc w:val="center"/>
        </w:pPr>
        <w:r>
          <w:fldChar w:fldCharType="begin"/>
        </w:r>
        <w:r>
          <w:instrText xml:space="preserve">PAGE   \* MERGEFORMAT</w:instrText>
        </w:r>
        <w:r>
          <w:fldChar w:fldCharType="separate"/>
        </w:r>
        <w:r>
          <w:rPr>
            <w:lang w:val="zh-CN"/>
          </w:rPr>
          <w:t>1</w:t>
        </w:r>
        <w:r>
          <w:fldChar w:fldCharType="end"/>
        </w:r>
      </w:p>
    </w:sdtContent>
  </w:sdt>
  <w:p w14:paraId="1C05F868">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00"/>
      </w:pPr>
      <w:r>
        <w:separator/>
      </w:r>
    </w:p>
  </w:footnote>
  <w:footnote w:type="continuationSeparator" w:id="1">
    <w:p>
      <w:pPr>
        <w:spacing w:line="36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C454E">
    <w:pPr>
      <w:ind w:firstLine="883"/>
      <w:jc w:val="center"/>
      <w:rPr>
        <w:b/>
        <w:sz w:val="4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2DC8D">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988CC">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50"/>
  <w:drawingGridVerticalSpacing w:val="204"/>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jNmZTdmMjBmNGEwMmIwYjViMGU2ZTgzNTk5MmM1YzUifQ=="/>
  </w:docVars>
  <w:rsids>
    <w:rsidRoot w:val="004C08AB"/>
    <w:rsid w:val="00000FEB"/>
    <w:rsid w:val="000011C2"/>
    <w:rsid w:val="00002304"/>
    <w:rsid w:val="00006B8F"/>
    <w:rsid w:val="0001618B"/>
    <w:rsid w:val="00020BA4"/>
    <w:rsid w:val="00020E14"/>
    <w:rsid w:val="0002656C"/>
    <w:rsid w:val="00026B4C"/>
    <w:rsid w:val="00027DE6"/>
    <w:rsid w:val="00036144"/>
    <w:rsid w:val="00037487"/>
    <w:rsid w:val="000507F7"/>
    <w:rsid w:val="00055002"/>
    <w:rsid w:val="000612C9"/>
    <w:rsid w:val="000615D7"/>
    <w:rsid w:val="0006499B"/>
    <w:rsid w:val="000658D3"/>
    <w:rsid w:val="00070291"/>
    <w:rsid w:val="00074F01"/>
    <w:rsid w:val="00075289"/>
    <w:rsid w:val="00077D8E"/>
    <w:rsid w:val="00083AEB"/>
    <w:rsid w:val="00083AEE"/>
    <w:rsid w:val="00083B7E"/>
    <w:rsid w:val="00095081"/>
    <w:rsid w:val="000A55F5"/>
    <w:rsid w:val="000A7887"/>
    <w:rsid w:val="000B1253"/>
    <w:rsid w:val="000C5AFA"/>
    <w:rsid w:val="000C7EAC"/>
    <w:rsid w:val="000E11FE"/>
    <w:rsid w:val="000F637C"/>
    <w:rsid w:val="00100C98"/>
    <w:rsid w:val="00103B2F"/>
    <w:rsid w:val="001044B5"/>
    <w:rsid w:val="001056D9"/>
    <w:rsid w:val="0011144F"/>
    <w:rsid w:val="00120900"/>
    <w:rsid w:val="001222E6"/>
    <w:rsid w:val="00126D35"/>
    <w:rsid w:val="0013157B"/>
    <w:rsid w:val="001317B4"/>
    <w:rsid w:val="00133DFB"/>
    <w:rsid w:val="0013551F"/>
    <w:rsid w:val="00143E90"/>
    <w:rsid w:val="001514E7"/>
    <w:rsid w:val="001565E8"/>
    <w:rsid w:val="001574B1"/>
    <w:rsid w:val="0016001C"/>
    <w:rsid w:val="00171081"/>
    <w:rsid w:val="00171BF4"/>
    <w:rsid w:val="00172691"/>
    <w:rsid w:val="0018178E"/>
    <w:rsid w:val="00181B83"/>
    <w:rsid w:val="001929BE"/>
    <w:rsid w:val="00193999"/>
    <w:rsid w:val="00193C72"/>
    <w:rsid w:val="00195889"/>
    <w:rsid w:val="00196F49"/>
    <w:rsid w:val="001A05A4"/>
    <w:rsid w:val="001A1CF3"/>
    <w:rsid w:val="001A44D5"/>
    <w:rsid w:val="001B15E8"/>
    <w:rsid w:val="001B1FAA"/>
    <w:rsid w:val="001B35E9"/>
    <w:rsid w:val="001B432A"/>
    <w:rsid w:val="001B6929"/>
    <w:rsid w:val="001C3F62"/>
    <w:rsid w:val="001C683F"/>
    <w:rsid w:val="001D0E7E"/>
    <w:rsid w:val="001D2E2B"/>
    <w:rsid w:val="001D688B"/>
    <w:rsid w:val="001E6F97"/>
    <w:rsid w:val="001F2A94"/>
    <w:rsid w:val="001F777F"/>
    <w:rsid w:val="001F77B1"/>
    <w:rsid w:val="002030E0"/>
    <w:rsid w:val="00205170"/>
    <w:rsid w:val="002051E6"/>
    <w:rsid w:val="0021581E"/>
    <w:rsid w:val="00226602"/>
    <w:rsid w:val="00226718"/>
    <w:rsid w:val="00237479"/>
    <w:rsid w:val="002414D8"/>
    <w:rsid w:val="00250B07"/>
    <w:rsid w:val="00252385"/>
    <w:rsid w:val="00257C9E"/>
    <w:rsid w:val="00260AF4"/>
    <w:rsid w:val="002648B0"/>
    <w:rsid w:val="00270B74"/>
    <w:rsid w:val="002767C7"/>
    <w:rsid w:val="00280BEF"/>
    <w:rsid w:val="00292338"/>
    <w:rsid w:val="00296C9B"/>
    <w:rsid w:val="002A7DE1"/>
    <w:rsid w:val="002B2502"/>
    <w:rsid w:val="002B54FA"/>
    <w:rsid w:val="002B72AB"/>
    <w:rsid w:val="002C6744"/>
    <w:rsid w:val="002C73FF"/>
    <w:rsid w:val="002E4D5B"/>
    <w:rsid w:val="002E67CF"/>
    <w:rsid w:val="002F321B"/>
    <w:rsid w:val="00302620"/>
    <w:rsid w:val="00312803"/>
    <w:rsid w:val="00323181"/>
    <w:rsid w:val="00323AA5"/>
    <w:rsid w:val="0033044C"/>
    <w:rsid w:val="00332C4B"/>
    <w:rsid w:val="00337D54"/>
    <w:rsid w:val="00345BDF"/>
    <w:rsid w:val="00355A88"/>
    <w:rsid w:val="003646AE"/>
    <w:rsid w:val="003649EA"/>
    <w:rsid w:val="003725BC"/>
    <w:rsid w:val="00380E31"/>
    <w:rsid w:val="0039017A"/>
    <w:rsid w:val="003979E1"/>
    <w:rsid w:val="003A07EA"/>
    <w:rsid w:val="003A5706"/>
    <w:rsid w:val="003B2371"/>
    <w:rsid w:val="003B512B"/>
    <w:rsid w:val="003B709E"/>
    <w:rsid w:val="003C0105"/>
    <w:rsid w:val="003C6BC9"/>
    <w:rsid w:val="003D3573"/>
    <w:rsid w:val="003D4307"/>
    <w:rsid w:val="003D4A5D"/>
    <w:rsid w:val="003E42D4"/>
    <w:rsid w:val="003E77F6"/>
    <w:rsid w:val="003F1E10"/>
    <w:rsid w:val="003F3ADA"/>
    <w:rsid w:val="003F3BA8"/>
    <w:rsid w:val="003F4AB3"/>
    <w:rsid w:val="003F4D10"/>
    <w:rsid w:val="003F5674"/>
    <w:rsid w:val="00401844"/>
    <w:rsid w:val="00405287"/>
    <w:rsid w:val="004053D0"/>
    <w:rsid w:val="004056C7"/>
    <w:rsid w:val="004058AB"/>
    <w:rsid w:val="00405AB5"/>
    <w:rsid w:val="00410621"/>
    <w:rsid w:val="004115CD"/>
    <w:rsid w:val="00416798"/>
    <w:rsid w:val="004170BF"/>
    <w:rsid w:val="0042009A"/>
    <w:rsid w:val="0042691F"/>
    <w:rsid w:val="00430802"/>
    <w:rsid w:val="00430B73"/>
    <w:rsid w:val="004366D6"/>
    <w:rsid w:val="004405A8"/>
    <w:rsid w:val="00442257"/>
    <w:rsid w:val="00442FFE"/>
    <w:rsid w:val="004434C2"/>
    <w:rsid w:val="00443F10"/>
    <w:rsid w:val="00446756"/>
    <w:rsid w:val="00446FF3"/>
    <w:rsid w:val="00451513"/>
    <w:rsid w:val="00451C97"/>
    <w:rsid w:val="004539F1"/>
    <w:rsid w:val="00455F1E"/>
    <w:rsid w:val="00460BFA"/>
    <w:rsid w:val="004615C4"/>
    <w:rsid w:val="004650FB"/>
    <w:rsid w:val="00472DA3"/>
    <w:rsid w:val="0047470D"/>
    <w:rsid w:val="00486084"/>
    <w:rsid w:val="00486A94"/>
    <w:rsid w:val="0049192C"/>
    <w:rsid w:val="00492D7A"/>
    <w:rsid w:val="00493D12"/>
    <w:rsid w:val="0049594C"/>
    <w:rsid w:val="00496325"/>
    <w:rsid w:val="00496FA0"/>
    <w:rsid w:val="004A2B47"/>
    <w:rsid w:val="004B0065"/>
    <w:rsid w:val="004B0468"/>
    <w:rsid w:val="004B11BC"/>
    <w:rsid w:val="004B370E"/>
    <w:rsid w:val="004C08AB"/>
    <w:rsid w:val="004C35F7"/>
    <w:rsid w:val="004D0BEB"/>
    <w:rsid w:val="004D238A"/>
    <w:rsid w:val="004D6A51"/>
    <w:rsid w:val="004F2A13"/>
    <w:rsid w:val="004F48D8"/>
    <w:rsid w:val="004F4908"/>
    <w:rsid w:val="00505F94"/>
    <w:rsid w:val="0050708A"/>
    <w:rsid w:val="005072B7"/>
    <w:rsid w:val="00521067"/>
    <w:rsid w:val="005264F5"/>
    <w:rsid w:val="0053799D"/>
    <w:rsid w:val="00541952"/>
    <w:rsid w:val="00543F84"/>
    <w:rsid w:val="00544AAE"/>
    <w:rsid w:val="005452C1"/>
    <w:rsid w:val="00545E98"/>
    <w:rsid w:val="0055025D"/>
    <w:rsid w:val="00551EE4"/>
    <w:rsid w:val="0055397F"/>
    <w:rsid w:val="0055448A"/>
    <w:rsid w:val="00560C9B"/>
    <w:rsid w:val="00576226"/>
    <w:rsid w:val="00581251"/>
    <w:rsid w:val="00585EC7"/>
    <w:rsid w:val="00586B9B"/>
    <w:rsid w:val="00591EF4"/>
    <w:rsid w:val="005968DA"/>
    <w:rsid w:val="005B18BF"/>
    <w:rsid w:val="005B1F3D"/>
    <w:rsid w:val="005B3267"/>
    <w:rsid w:val="005B5EBB"/>
    <w:rsid w:val="005B617F"/>
    <w:rsid w:val="005C1B8B"/>
    <w:rsid w:val="005D23E8"/>
    <w:rsid w:val="005E7532"/>
    <w:rsid w:val="005E7BA9"/>
    <w:rsid w:val="005F339C"/>
    <w:rsid w:val="00600933"/>
    <w:rsid w:val="00601BD3"/>
    <w:rsid w:val="006067A2"/>
    <w:rsid w:val="006123C1"/>
    <w:rsid w:val="006147F0"/>
    <w:rsid w:val="00615C8E"/>
    <w:rsid w:val="006169A2"/>
    <w:rsid w:val="00617215"/>
    <w:rsid w:val="00620202"/>
    <w:rsid w:val="00622638"/>
    <w:rsid w:val="00627930"/>
    <w:rsid w:val="00630996"/>
    <w:rsid w:val="00637D54"/>
    <w:rsid w:val="0064059E"/>
    <w:rsid w:val="00643B39"/>
    <w:rsid w:val="00644DE5"/>
    <w:rsid w:val="00647171"/>
    <w:rsid w:val="00653629"/>
    <w:rsid w:val="00662FEA"/>
    <w:rsid w:val="006733AA"/>
    <w:rsid w:val="00676273"/>
    <w:rsid w:val="00681381"/>
    <w:rsid w:val="0068288F"/>
    <w:rsid w:val="00692149"/>
    <w:rsid w:val="00694226"/>
    <w:rsid w:val="0069569D"/>
    <w:rsid w:val="00697412"/>
    <w:rsid w:val="006B034C"/>
    <w:rsid w:val="006B7ED3"/>
    <w:rsid w:val="006C0A13"/>
    <w:rsid w:val="006C1DB1"/>
    <w:rsid w:val="006C2DE0"/>
    <w:rsid w:val="006D0734"/>
    <w:rsid w:val="006D10E2"/>
    <w:rsid w:val="006D2E67"/>
    <w:rsid w:val="006D3231"/>
    <w:rsid w:val="006D6462"/>
    <w:rsid w:val="006D7D67"/>
    <w:rsid w:val="006E4206"/>
    <w:rsid w:val="006E5525"/>
    <w:rsid w:val="006E5791"/>
    <w:rsid w:val="006F1686"/>
    <w:rsid w:val="006F431C"/>
    <w:rsid w:val="00702543"/>
    <w:rsid w:val="00704930"/>
    <w:rsid w:val="00706E0E"/>
    <w:rsid w:val="00712CF0"/>
    <w:rsid w:val="00712D46"/>
    <w:rsid w:val="00713D52"/>
    <w:rsid w:val="007173AD"/>
    <w:rsid w:val="0072758F"/>
    <w:rsid w:val="00727CA7"/>
    <w:rsid w:val="00733026"/>
    <w:rsid w:val="007411F6"/>
    <w:rsid w:val="00744897"/>
    <w:rsid w:val="007453DD"/>
    <w:rsid w:val="00746340"/>
    <w:rsid w:val="007533B0"/>
    <w:rsid w:val="007547E5"/>
    <w:rsid w:val="0076122D"/>
    <w:rsid w:val="00766AD7"/>
    <w:rsid w:val="00767A59"/>
    <w:rsid w:val="00767E79"/>
    <w:rsid w:val="0077070B"/>
    <w:rsid w:val="00772196"/>
    <w:rsid w:val="00772E3A"/>
    <w:rsid w:val="007742C2"/>
    <w:rsid w:val="0077496D"/>
    <w:rsid w:val="00777A5C"/>
    <w:rsid w:val="00787D05"/>
    <w:rsid w:val="007A3850"/>
    <w:rsid w:val="007B1E3A"/>
    <w:rsid w:val="007B2F2A"/>
    <w:rsid w:val="007B432C"/>
    <w:rsid w:val="007B6A21"/>
    <w:rsid w:val="007C2E56"/>
    <w:rsid w:val="007C4D02"/>
    <w:rsid w:val="007C72D4"/>
    <w:rsid w:val="007E1BC3"/>
    <w:rsid w:val="007E47AE"/>
    <w:rsid w:val="007E4E46"/>
    <w:rsid w:val="007E5FCC"/>
    <w:rsid w:val="007E64C3"/>
    <w:rsid w:val="007E6DE9"/>
    <w:rsid w:val="007F03FF"/>
    <w:rsid w:val="007F4B4F"/>
    <w:rsid w:val="007F7AEA"/>
    <w:rsid w:val="00802F09"/>
    <w:rsid w:val="00807930"/>
    <w:rsid w:val="0081312E"/>
    <w:rsid w:val="00813EA2"/>
    <w:rsid w:val="008144DA"/>
    <w:rsid w:val="00820C2F"/>
    <w:rsid w:val="00821D64"/>
    <w:rsid w:val="00830769"/>
    <w:rsid w:val="00834484"/>
    <w:rsid w:val="008423B4"/>
    <w:rsid w:val="00842E5A"/>
    <w:rsid w:val="008528F5"/>
    <w:rsid w:val="00857F0A"/>
    <w:rsid w:val="00863A91"/>
    <w:rsid w:val="00865FFE"/>
    <w:rsid w:val="008677DA"/>
    <w:rsid w:val="00870914"/>
    <w:rsid w:val="00877FB2"/>
    <w:rsid w:val="008934E0"/>
    <w:rsid w:val="00893B2C"/>
    <w:rsid w:val="008953D1"/>
    <w:rsid w:val="00895B0E"/>
    <w:rsid w:val="008A237A"/>
    <w:rsid w:val="008A5323"/>
    <w:rsid w:val="008B1088"/>
    <w:rsid w:val="008B1899"/>
    <w:rsid w:val="008B3046"/>
    <w:rsid w:val="008B3B7D"/>
    <w:rsid w:val="008B63E8"/>
    <w:rsid w:val="008C06C7"/>
    <w:rsid w:val="008C0F51"/>
    <w:rsid w:val="008C51B6"/>
    <w:rsid w:val="008D1FA4"/>
    <w:rsid w:val="008D38C5"/>
    <w:rsid w:val="008E0F7B"/>
    <w:rsid w:val="008E3CAB"/>
    <w:rsid w:val="008E4D0C"/>
    <w:rsid w:val="008E5278"/>
    <w:rsid w:val="008E539A"/>
    <w:rsid w:val="008E53F0"/>
    <w:rsid w:val="008E597E"/>
    <w:rsid w:val="008F1DA5"/>
    <w:rsid w:val="008F6DE7"/>
    <w:rsid w:val="008F7652"/>
    <w:rsid w:val="0090143F"/>
    <w:rsid w:val="00901B69"/>
    <w:rsid w:val="009035C1"/>
    <w:rsid w:val="00907812"/>
    <w:rsid w:val="00912960"/>
    <w:rsid w:val="009243B2"/>
    <w:rsid w:val="0092511A"/>
    <w:rsid w:val="00925A9A"/>
    <w:rsid w:val="00926B93"/>
    <w:rsid w:val="00941793"/>
    <w:rsid w:val="00943F0B"/>
    <w:rsid w:val="00950EAA"/>
    <w:rsid w:val="00954858"/>
    <w:rsid w:val="00957811"/>
    <w:rsid w:val="009617BB"/>
    <w:rsid w:val="009625DF"/>
    <w:rsid w:val="0096475D"/>
    <w:rsid w:val="00965671"/>
    <w:rsid w:val="00965AEA"/>
    <w:rsid w:val="00974CFD"/>
    <w:rsid w:val="0097501A"/>
    <w:rsid w:val="00981E82"/>
    <w:rsid w:val="00984DF9"/>
    <w:rsid w:val="00984E61"/>
    <w:rsid w:val="00986DC4"/>
    <w:rsid w:val="00996F56"/>
    <w:rsid w:val="009A7071"/>
    <w:rsid w:val="009B59DF"/>
    <w:rsid w:val="009C5680"/>
    <w:rsid w:val="009D4406"/>
    <w:rsid w:val="009D4445"/>
    <w:rsid w:val="009D5FFE"/>
    <w:rsid w:val="009D7DFB"/>
    <w:rsid w:val="009E4C3C"/>
    <w:rsid w:val="009E5431"/>
    <w:rsid w:val="009E7399"/>
    <w:rsid w:val="009F23FF"/>
    <w:rsid w:val="009F3AFA"/>
    <w:rsid w:val="00A10536"/>
    <w:rsid w:val="00A10EEB"/>
    <w:rsid w:val="00A158E6"/>
    <w:rsid w:val="00A1596C"/>
    <w:rsid w:val="00A20C09"/>
    <w:rsid w:val="00A20D5A"/>
    <w:rsid w:val="00A25C75"/>
    <w:rsid w:val="00A34A92"/>
    <w:rsid w:val="00A35500"/>
    <w:rsid w:val="00A37649"/>
    <w:rsid w:val="00A40252"/>
    <w:rsid w:val="00A53AE1"/>
    <w:rsid w:val="00A55C44"/>
    <w:rsid w:val="00A55E37"/>
    <w:rsid w:val="00A6021A"/>
    <w:rsid w:val="00A6200B"/>
    <w:rsid w:val="00A721C0"/>
    <w:rsid w:val="00A73864"/>
    <w:rsid w:val="00A746C0"/>
    <w:rsid w:val="00A9678E"/>
    <w:rsid w:val="00AA4023"/>
    <w:rsid w:val="00AC231E"/>
    <w:rsid w:val="00AC2A8F"/>
    <w:rsid w:val="00AC5C72"/>
    <w:rsid w:val="00AC7598"/>
    <w:rsid w:val="00AD33ED"/>
    <w:rsid w:val="00AD69F2"/>
    <w:rsid w:val="00AD6D4C"/>
    <w:rsid w:val="00AE3ECD"/>
    <w:rsid w:val="00AE4934"/>
    <w:rsid w:val="00B02C3B"/>
    <w:rsid w:val="00B03991"/>
    <w:rsid w:val="00B05A8C"/>
    <w:rsid w:val="00B105A5"/>
    <w:rsid w:val="00B10A66"/>
    <w:rsid w:val="00B125DA"/>
    <w:rsid w:val="00B15BDC"/>
    <w:rsid w:val="00B20AC6"/>
    <w:rsid w:val="00B22426"/>
    <w:rsid w:val="00B226F9"/>
    <w:rsid w:val="00B25CAD"/>
    <w:rsid w:val="00B26262"/>
    <w:rsid w:val="00B26A07"/>
    <w:rsid w:val="00B3114F"/>
    <w:rsid w:val="00B33AA2"/>
    <w:rsid w:val="00B44B3C"/>
    <w:rsid w:val="00B51640"/>
    <w:rsid w:val="00B758F4"/>
    <w:rsid w:val="00B764E9"/>
    <w:rsid w:val="00B8343D"/>
    <w:rsid w:val="00B93041"/>
    <w:rsid w:val="00BA0D25"/>
    <w:rsid w:val="00BA5198"/>
    <w:rsid w:val="00BA69ED"/>
    <w:rsid w:val="00BB501B"/>
    <w:rsid w:val="00BB60B7"/>
    <w:rsid w:val="00BC1266"/>
    <w:rsid w:val="00BC27AA"/>
    <w:rsid w:val="00BC2BF4"/>
    <w:rsid w:val="00BC522A"/>
    <w:rsid w:val="00BD181E"/>
    <w:rsid w:val="00BD2AED"/>
    <w:rsid w:val="00BD2CA1"/>
    <w:rsid w:val="00BE0118"/>
    <w:rsid w:val="00BE2EB1"/>
    <w:rsid w:val="00BE51E7"/>
    <w:rsid w:val="00BE7F24"/>
    <w:rsid w:val="00BF1902"/>
    <w:rsid w:val="00BF2CE2"/>
    <w:rsid w:val="00C00DBB"/>
    <w:rsid w:val="00C041DB"/>
    <w:rsid w:val="00C11754"/>
    <w:rsid w:val="00C224A4"/>
    <w:rsid w:val="00C22573"/>
    <w:rsid w:val="00C24D5F"/>
    <w:rsid w:val="00C27F57"/>
    <w:rsid w:val="00C27FDC"/>
    <w:rsid w:val="00C31619"/>
    <w:rsid w:val="00C36EDF"/>
    <w:rsid w:val="00C60923"/>
    <w:rsid w:val="00C60B1F"/>
    <w:rsid w:val="00C623A8"/>
    <w:rsid w:val="00C62FB4"/>
    <w:rsid w:val="00C639E2"/>
    <w:rsid w:val="00C63F94"/>
    <w:rsid w:val="00C75270"/>
    <w:rsid w:val="00C81BCF"/>
    <w:rsid w:val="00C90311"/>
    <w:rsid w:val="00CA00F1"/>
    <w:rsid w:val="00CA2B11"/>
    <w:rsid w:val="00CA6A8A"/>
    <w:rsid w:val="00CA73FD"/>
    <w:rsid w:val="00CB42EC"/>
    <w:rsid w:val="00CC7F38"/>
    <w:rsid w:val="00CD390D"/>
    <w:rsid w:val="00CD56A5"/>
    <w:rsid w:val="00CD762C"/>
    <w:rsid w:val="00CE20BA"/>
    <w:rsid w:val="00CE4C93"/>
    <w:rsid w:val="00CE64AD"/>
    <w:rsid w:val="00D00E8E"/>
    <w:rsid w:val="00D0588F"/>
    <w:rsid w:val="00D05EE0"/>
    <w:rsid w:val="00D0762D"/>
    <w:rsid w:val="00D13F8D"/>
    <w:rsid w:val="00D146D1"/>
    <w:rsid w:val="00D16EEF"/>
    <w:rsid w:val="00D2078B"/>
    <w:rsid w:val="00D20A9D"/>
    <w:rsid w:val="00D35CCF"/>
    <w:rsid w:val="00D379CC"/>
    <w:rsid w:val="00D37A65"/>
    <w:rsid w:val="00D4570E"/>
    <w:rsid w:val="00D519FB"/>
    <w:rsid w:val="00D54854"/>
    <w:rsid w:val="00D616D9"/>
    <w:rsid w:val="00D64D64"/>
    <w:rsid w:val="00D65191"/>
    <w:rsid w:val="00D766F5"/>
    <w:rsid w:val="00D84055"/>
    <w:rsid w:val="00D87402"/>
    <w:rsid w:val="00D90A18"/>
    <w:rsid w:val="00D912D4"/>
    <w:rsid w:val="00D93A4D"/>
    <w:rsid w:val="00D941D2"/>
    <w:rsid w:val="00D9685B"/>
    <w:rsid w:val="00DA361E"/>
    <w:rsid w:val="00DA38A8"/>
    <w:rsid w:val="00DA44E5"/>
    <w:rsid w:val="00DB0BA9"/>
    <w:rsid w:val="00DB1FDF"/>
    <w:rsid w:val="00DB39B3"/>
    <w:rsid w:val="00DC443E"/>
    <w:rsid w:val="00DD272E"/>
    <w:rsid w:val="00DD293F"/>
    <w:rsid w:val="00DE1899"/>
    <w:rsid w:val="00DE50BF"/>
    <w:rsid w:val="00DF19AB"/>
    <w:rsid w:val="00DF5A9D"/>
    <w:rsid w:val="00DF75D3"/>
    <w:rsid w:val="00DF7F7C"/>
    <w:rsid w:val="00E0368B"/>
    <w:rsid w:val="00E0532E"/>
    <w:rsid w:val="00E05DCF"/>
    <w:rsid w:val="00E05EF5"/>
    <w:rsid w:val="00E0661B"/>
    <w:rsid w:val="00E10F5E"/>
    <w:rsid w:val="00E11013"/>
    <w:rsid w:val="00E13A65"/>
    <w:rsid w:val="00E16DD7"/>
    <w:rsid w:val="00E261B3"/>
    <w:rsid w:val="00E26C42"/>
    <w:rsid w:val="00E32B88"/>
    <w:rsid w:val="00E34745"/>
    <w:rsid w:val="00E4781B"/>
    <w:rsid w:val="00E557C8"/>
    <w:rsid w:val="00E57320"/>
    <w:rsid w:val="00E6063A"/>
    <w:rsid w:val="00E622F7"/>
    <w:rsid w:val="00E64A88"/>
    <w:rsid w:val="00E70E83"/>
    <w:rsid w:val="00E71859"/>
    <w:rsid w:val="00E72319"/>
    <w:rsid w:val="00E745E3"/>
    <w:rsid w:val="00E7574B"/>
    <w:rsid w:val="00E95A36"/>
    <w:rsid w:val="00E979AF"/>
    <w:rsid w:val="00EA4152"/>
    <w:rsid w:val="00EB1BC0"/>
    <w:rsid w:val="00EB51C0"/>
    <w:rsid w:val="00EB66A8"/>
    <w:rsid w:val="00EC3DCF"/>
    <w:rsid w:val="00ED4692"/>
    <w:rsid w:val="00EE1BFC"/>
    <w:rsid w:val="00EE6C46"/>
    <w:rsid w:val="00EF5BE4"/>
    <w:rsid w:val="00F00336"/>
    <w:rsid w:val="00F02999"/>
    <w:rsid w:val="00F03F51"/>
    <w:rsid w:val="00F04FD1"/>
    <w:rsid w:val="00F05E62"/>
    <w:rsid w:val="00F14B8E"/>
    <w:rsid w:val="00F20D39"/>
    <w:rsid w:val="00F25534"/>
    <w:rsid w:val="00F27545"/>
    <w:rsid w:val="00F31367"/>
    <w:rsid w:val="00F32BC1"/>
    <w:rsid w:val="00F34FCD"/>
    <w:rsid w:val="00F37C90"/>
    <w:rsid w:val="00F40E5C"/>
    <w:rsid w:val="00F51226"/>
    <w:rsid w:val="00F52BA4"/>
    <w:rsid w:val="00F71FCE"/>
    <w:rsid w:val="00F7210C"/>
    <w:rsid w:val="00F872AE"/>
    <w:rsid w:val="00F921E0"/>
    <w:rsid w:val="00F97093"/>
    <w:rsid w:val="00FA46C3"/>
    <w:rsid w:val="00FA6E1F"/>
    <w:rsid w:val="00FA7119"/>
    <w:rsid w:val="00FB2DF3"/>
    <w:rsid w:val="00FC0CC4"/>
    <w:rsid w:val="00FC418C"/>
    <w:rsid w:val="00FD0654"/>
    <w:rsid w:val="00FD0DD7"/>
    <w:rsid w:val="00FE479D"/>
    <w:rsid w:val="00FE6E76"/>
    <w:rsid w:val="00FF0E11"/>
    <w:rsid w:val="00FF31E6"/>
    <w:rsid w:val="00FF384E"/>
    <w:rsid w:val="02F0190B"/>
    <w:rsid w:val="0413543B"/>
    <w:rsid w:val="1EC63A29"/>
    <w:rsid w:val="233C5DDE"/>
    <w:rsid w:val="2A375A3B"/>
    <w:rsid w:val="2D2B2E69"/>
    <w:rsid w:val="307F6601"/>
    <w:rsid w:val="35FB36BF"/>
    <w:rsid w:val="388A67BB"/>
    <w:rsid w:val="39C579C0"/>
    <w:rsid w:val="4013025E"/>
    <w:rsid w:val="431D7B20"/>
    <w:rsid w:val="44B5159F"/>
    <w:rsid w:val="48D63620"/>
    <w:rsid w:val="4C930510"/>
    <w:rsid w:val="54E24A0D"/>
    <w:rsid w:val="5DD07337"/>
    <w:rsid w:val="607F7EFB"/>
    <w:rsid w:val="621028BE"/>
    <w:rsid w:val="622B1ED3"/>
    <w:rsid w:val="62EE1882"/>
    <w:rsid w:val="64BE6F20"/>
    <w:rsid w:val="69F70DDB"/>
    <w:rsid w:val="7BF6104D"/>
    <w:rsid w:val="7C945E79"/>
    <w:rsid w:val="F8E77ED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Calibri" w:hAnsi="Calibri" w:eastAsia="仿宋" w:cstheme="minorBidi"/>
      <w:kern w:val="2"/>
      <w:sz w:val="30"/>
      <w:szCs w:val="22"/>
      <w:lang w:val="en-US" w:eastAsia="zh-CN" w:bidi="ar-SA"/>
    </w:rPr>
  </w:style>
  <w:style w:type="paragraph" w:styleId="2">
    <w:name w:val="heading 1"/>
    <w:basedOn w:val="1"/>
    <w:next w:val="1"/>
    <w:link w:val="22"/>
    <w:qFormat/>
    <w:uiPriority w:val="9"/>
    <w:pPr>
      <w:keepNext/>
      <w:keepLines/>
      <w:spacing w:before="340" w:after="330" w:line="480" w:lineRule="auto"/>
      <w:ind w:firstLine="0" w:firstLineChars="0"/>
      <w:jc w:val="center"/>
      <w:outlineLvl w:val="0"/>
    </w:pPr>
    <w:rPr>
      <w:rFonts w:eastAsia="黑体"/>
      <w:b/>
      <w:bCs/>
      <w:kern w:val="44"/>
      <w:sz w:val="36"/>
      <w:szCs w:val="44"/>
    </w:rPr>
  </w:style>
  <w:style w:type="paragraph" w:styleId="3">
    <w:name w:val="heading 2"/>
    <w:basedOn w:val="1"/>
    <w:next w:val="1"/>
    <w:link w:val="23"/>
    <w:unhideWhenUsed/>
    <w:qFormat/>
    <w:uiPriority w:val="9"/>
    <w:pPr>
      <w:keepNext/>
      <w:keepLines/>
      <w:spacing w:before="260" w:after="260" w:line="415" w:lineRule="auto"/>
      <w:ind w:firstLine="50" w:firstLineChars="50"/>
      <w:jc w:val="left"/>
      <w:outlineLvl w:val="1"/>
    </w:pPr>
    <w:rPr>
      <w:rFonts w:eastAsia="楷体" w:asciiTheme="majorHAnsi" w:hAnsiTheme="majorHAnsi" w:cstheme="majorBidi"/>
      <w:b/>
      <w:bCs/>
      <w:sz w:val="32"/>
      <w:szCs w:val="32"/>
    </w:rPr>
  </w:style>
  <w:style w:type="paragraph" w:styleId="4">
    <w:name w:val="heading 3"/>
    <w:basedOn w:val="1"/>
    <w:next w:val="1"/>
    <w:link w:val="24"/>
    <w:unhideWhenUsed/>
    <w:qFormat/>
    <w:uiPriority w:val="9"/>
    <w:pPr>
      <w:keepNext/>
      <w:keepLines/>
      <w:spacing w:before="260" w:after="260"/>
      <w:ind w:firstLine="0" w:firstLineChars="0"/>
      <w:jc w:val="left"/>
      <w:outlineLvl w:val="2"/>
    </w:pPr>
    <w:rPr>
      <w:b/>
      <w:bCs/>
      <w:szCs w:val="32"/>
    </w:rPr>
  </w:style>
  <w:style w:type="paragraph" w:styleId="5">
    <w:name w:val="heading 4"/>
    <w:basedOn w:val="1"/>
    <w:next w:val="1"/>
    <w:link w:val="25"/>
    <w:unhideWhenUsed/>
    <w:qFormat/>
    <w:uiPriority w:val="9"/>
    <w:pPr>
      <w:keepNext/>
      <w:keepLines/>
      <w:spacing w:before="280" w:after="290"/>
      <w:ind w:firstLine="150" w:firstLineChars="150"/>
      <w:jc w:val="left"/>
      <w:outlineLvl w:val="3"/>
    </w:pPr>
    <w:rPr>
      <w:rFonts w:asciiTheme="majorHAnsi" w:hAnsiTheme="majorHAnsi" w:cstheme="majorBidi"/>
      <w:b/>
      <w:bCs/>
      <w:szCs w:val="28"/>
    </w:rPr>
  </w:style>
  <w:style w:type="paragraph" w:styleId="6">
    <w:name w:val="heading 5"/>
    <w:basedOn w:val="1"/>
    <w:next w:val="1"/>
    <w:link w:val="26"/>
    <w:unhideWhenUsed/>
    <w:qFormat/>
    <w:uiPriority w:val="9"/>
    <w:pPr>
      <w:keepNext/>
      <w:keepLines/>
      <w:spacing w:before="280" w:after="290" w:line="376" w:lineRule="auto"/>
      <w:outlineLvl w:val="4"/>
    </w:pPr>
    <w:rPr>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7">
    <w:name w:val="Document Map"/>
    <w:basedOn w:val="1"/>
    <w:link w:val="39"/>
    <w:semiHidden/>
    <w:unhideWhenUsed/>
    <w:qFormat/>
    <w:uiPriority w:val="99"/>
    <w:rPr>
      <w:rFonts w:ascii="宋体" w:eastAsia="宋体"/>
      <w:sz w:val="18"/>
      <w:szCs w:val="18"/>
    </w:rPr>
  </w:style>
  <w:style w:type="paragraph" w:styleId="8">
    <w:name w:val="annotation text"/>
    <w:basedOn w:val="1"/>
    <w:link w:val="32"/>
    <w:semiHidden/>
    <w:unhideWhenUsed/>
    <w:qFormat/>
    <w:uiPriority w:val="99"/>
    <w:pPr>
      <w:jc w:val="left"/>
    </w:pPr>
  </w:style>
  <w:style w:type="paragraph" w:styleId="9">
    <w:name w:val="toc 3"/>
    <w:basedOn w:val="1"/>
    <w:next w:val="1"/>
    <w:unhideWhenUsed/>
    <w:qFormat/>
    <w:uiPriority w:val="39"/>
    <w:pPr>
      <w:ind w:left="840" w:leftChars="400"/>
    </w:pPr>
  </w:style>
  <w:style w:type="paragraph" w:styleId="10">
    <w:name w:val="Balloon Text"/>
    <w:basedOn w:val="1"/>
    <w:link w:val="34"/>
    <w:semiHidden/>
    <w:unhideWhenUsed/>
    <w:qFormat/>
    <w:uiPriority w:val="99"/>
    <w:rPr>
      <w:sz w:val="18"/>
      <w:szCs w:val="18"/>
    </w:rPr>
  </w:style>
  <w:style w:type="paragraph" w:styleId="11">
    <w:name w:val="footer"/>
    <w:basedOn w:val="1"/>
    <w:link w:val="28"/>
    <w:unhideWhenUsed/>
    <w:qFormat/>
    <w:uiPriority w:val="99"/>
    <w:pPr>
      <w:tabs>
        <w:tab w:val="center" w:pos="4153"/>
        <w:tab w:val="right" w:pos="8306"/>
      </w:tabs>
      <w:snapToGrid w:val="0"/>
      <w:jc w:val="left"/>
    </w:pPr>
    <w:rPr>
      <w:sz w:val="18"/>
      <w:szCs w:val="18"/>
    </w:rPr>
  </w:style>
  <w:style w:type="paragraph" w:styleId="12">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2"/>
    <w:basedOn w:val="1"/>
    <w:next w:val="1"/>
    <w:unhideWhenUsed/>
    <w:qFormat/>
    <w:uiPriority w:val="39"/>
    <w:pPr>
      <w:ind w:left="420" w:leftChars="200"/>
    </w:pPr>
  </w:style>
  <w:style w:type="paragraph" w:styleId="15">
    <w:name w:val="annotation subject"/>
    <w:basedOn w:val="8"/>
    <w:next w:val="8"/>
    <w:link w:val="33"/>
    <w:semiHidden/>
    <w:unhideWhenUsed/>
    <w:qFormat/>
    <w:uiPriority w:val="99"/>
    <w:rPr>
      <w:b/>
      <w:bCs/>
    </w:rPr>
  </w:style>
  <w:style w:type="table" w:styleId="17">
    <w:name w:val="Table Grid"/>
    <w:basedOn w:val="1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9">
    <w:name w:val="Strong"/>
    <w:basedOn w:val="18"/>
    <w:qFormat/>
    <w:uiPriority w:val="22"/>
    <w:rPr>
      <w:b/>
      <w:bCs/>
    </w:rPr>
  </w:style>
  <w:style w:type="character" w:styleId="20">
    <w:name w:val="Hyperlink"/>
    <w:basedOn w:val="18"/>
    <w:unhideWhenUsed/>
    <w:qFormat/>
    <w:uiPriority w:val="99"/>
    <w:rPr>
      <w:color w:val="0563C1" w:themeColor="hyperlink"/>
      <w:u w:val="single"/>
    </w:rPr>
  </w:style>
  <w:style w:type="character" w:styleId="21">
    <w:name w:val="annotation reference"/>
    <w:basedOn w:val="18"/>
    <w:semiHidden/>
    <w:unhideWhenUsed/>
    <w:qFormat/>
    <w:uiPriority w:val="99"/>
    <w:rPr>
      <w:sz w:val="21"/>
      <w:szCs w:val="21"/>
    </w:rPr>
  </w:style>
  <w:style w:type="character" w:customStyle="1" w:styleId="22">
    <w:name w:val="标题 1 Char"/>
    <w:basedOn w:val="18"/>
    <w:link w:val="2"/>
    <w:qFormat/>
    <w:uiPriority w:val="9"/>
    <w:rPr>
      <w:rFonts w:ascii="Calibri" w:hAnsi="Calibri" w:eastAsia="黑体"/>
      <w:b/>
      <w:bCs/>
      <w:kern w:val="44"/>
      <w:sz w:val="36"/>
      <w:szCs w:val="44"/>
    </w:rPr>
  </w:style>
  <w:style w:type="character" w:customStyle="1" w:styleId="23">
    <w:name w:val="标题 2 Char"/>
    <w:basedOn w:val="18"/>
    <w:link w:val="3"/>
    <w:qFormat/>
    <w:uiPriority w:val="9"/>
    <w:rPr>
      <w:rFonts w:eastAsia="楷体" w:asciiTheme="majorHAnsi" w:hAnsiTheme="majorHAnsi" w:cstheme="majorBidi"/>
      <w:b/>
      <w:bCs/>
      <w:kern w:val="2"/>
      <w:sz w:val="32"/>
      <w:szCs w:val="32"/>
    </w:rPr>
  </w:style>
  <w:style w:type="character" w:customStyle="1" w:styleId="24">
    <w:name w:val="标题 3 Char"/>
    <w:basedOn w:val="18"/>
    <w:link w:val="4"/>
    <w:qFormat/>
    <w:uiPriority w:val="9"/>
    <w:rPr>
      <w:rFonts w:ascii="Calibri" w:hAnsi="Calibri" w:eastAsia="仿宋"/>
      <w:b/>
      <w:bCs/>
      <w:sz w:val="30"/>
      <w:szCs w:val="32"/>
    </w:rPr>
  </w:style>
  <w:style w:type="character" w:customStyle="1" w:styleId="25">
    <w:name w:val="标题 4 Char"/>
    <w:basedOn w:val="18"/>
    <w:link w:val="5"/>
    <w:qFormat/>
    <w:uiPriority w:val="9"/>
    <w:rPr>
      <w:rFonts w:eastAsia="仿宋" w:asciiTheme="majorHAnsi" w:hAnsiTheme="majorHAnsi" w:cstheme="majorBidi"/>
      <w:b/>
      <w:bCs/>
      <w:sz w:val="30"/>
      <w:szCs w:val="28"/>
    </w:rPr>
  </w:style>
  <w:style w:type="character" w:customStyle="1" w:styleId="26">
    <w:name w:val="标题 5 Char"/>
    <w:basedOn w:val="18"/>
    <w:link w:val="6"/>
    <w:qFormat/>
    <w:uiPriority w:val="9"/>
    <w:rPr>
      <w:b/>
      <w:bCs/>
      <w:sz w:val="28"/>
      <w:szCs w:val="28"/>
    </w:rPr>
  </w:style>
  <w:style w:type="character" w:customStyle="1" w:styleId="27">
    <w:name w:val="页眉 Char"/>
    <w:basedOn w:val="18"/>
    <w:link w:val="12"/>
    <w:qFormat/>
    <w:uiPriority w:val="99"/>
    <w:rPr>
      <w:sz w:val="18"/>
      <w:szCs w:val="18"/>
    </w:rPr>
  </w:style>
  <w:style w:type="character" w:customStyle="1" w:styleId="28">
    <w:name w:val="页脚 Char"/>
    <w:basedOn w:val="18"/>
    <w:link w:val="11"/>
    <w:qFormat/>
    <w:uiPriority w:val="99"/>
    <w:rPr>
      <w:sz w:val="18"/>
      <w:szCs w:val="18"/>
    </w:rPr>
  </w:style>
  <w:style w:type="paragraph" w:customStyle="1" w:styleId="29">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paragraph" w:styleId="30">
    <w:name w:val="List Paragraph"/>
    <w:basedOn w:val="1"/>
    <w:qFormat/>
    <w:uiPriority w:val="34"/>
    <w:pPr>
      <w:ind w:firstLine="420"/>
    </w:pPr>
  </w:style>
  <w:style w:type="paragraph" w:styleId="31">
    <w:name w:val="No Spacing"/>
    <w:qFormat/>
    <w:uiPriority w:val="1"/>
    <w:pPr>
      <w:widowControl w:val="0"/>
      <w:ind w:firstLine="200" w:firstLineChars="200"/>
      <w:jc w:val="both"/>
    </w:pPr>
    <w:rPr>
      <w:rFonts w:eastAsia="仿宋" w:asciiTheme="minorHAnsi" w:hAnsiTheme="minorHAnsi" w:cstheme="minorBidi"/>
      <w:kern w:val="2"/>
      <w:sz w:val="21"/>
      <w:szCs w:val="22"/>
      <w:lang w:val="en-US" w:eastAsia="zh-CN" w:bidi="ar-SA"/>
    </w:rPr>
  </w:style>
  <w:style w:type="character" w:customStyle="1" w:styleId="32">
    <w:name w:val="批注文字 Char"/>
    <w:basedOn w:val="18"/>
    <w:link w:val="8"/>
    <w:semiHidden/>
    <w:qFormat/>
    <w:uiPriority w:val="99"/>
    <w:rPr>
      <w:rFonts w:eastAsia="仿宋"/>
      <w:sz w:val="30"/>
    </w:rPr>
  </w:style>
  <w:style w:type="character" w:customStyle="1" w:styleId="33">
    <w:name w:val="批注主题 Char"/>
    <w:basedOn w:val="32"/>
    <w:link w:val="15"/>
    <w:semiHidden/>
    <w:qFormat/>
    <w:uiPriority w:val="99"/>
    <w:rPr>
      <w:rFonts w:eastAsia="仿宋"/>
      <w:b/>
      <w:bCs/>
      <w:sz w:val="30"/>
    </w:rPr>
  </w:style>
  <w:style w:type="character" w:customStyle="1" w:styleId="34">
    <w:name w:val="批注框文本 Char"/>
    <w:basedOn w:val="18"/>
    <w:link w:val="10"/>
    <w:semiHidden/>
    <w:qFormat/>
    <w:uiPriority w:val="99"/>
    <w:rPr>
      <w:rFonts w:eastAsia="仿宋"/>
      <w:sz w:val="18"/>
      <w:szCs w:val="18"/>
    </w:rPr>
  </w:style>
  <w:style w:type="paragraph" w:customStyle="1" w:styleId="35">
    <w:name w:val="无间隔1"/>
    <w:next w:val="1"/>
    <w:link w:val="36"/>
    <w:qFormat/>
    <w:uiPriority w:val="1"/>
    <w:pPr>
      <w:spacing w:before="98" w:line="220" w:lineRule="exact"/>
      <w:ind w:firstLine="29"/>
      <w:jc w:val="center"/>
    </w:pPr>
    <w:rPr>
      <w:rFonts w:ascii="宋体" w:hAnsi="宋体" w:eastAsia="宋体" w:cs="Times New Roman"/>
      <w:sz w:val="21"/>
      <w:szCs w:val="21"/>
      <w:lang w:val="en-US" w:eastAsia="zh-CN" w:bidi="ar-SA"/>
    </w:rPr>
  </w:style>
  <w:style w:type="character" w:customStyle="1" w:styleId="36">
    <w:name w:val="无间隔 Char"/>
    <w:link w:val="35"/>
    <w:qFormat/>
    <w:uiPriority w:val="1"/>
    <w:rPr>
      <w:rFonts w:ascii="宋体" w:hAnsi="宋体" w:eastAsia="宋体" w:cs="Times New Roman"/>
      <w:kern w:val="0"/>
      <w:szCs w:val="21"/>
    </w:rPr>
  </w:style>
  <w:style w:type="character" w:customStyle="1" w:styleId="37">
    <w:name w:val="font01"/>
    <w:basedOn w:val="18"/>
    <w:qFormat/>
    <w:uiPriority w:val="0"/>
    <w:rPr>
      <w:rFonts w:hint="default" w:ascii="Arial" w:hAnsi="Arial" w:cs="Arial"/>
      <w:color w:val="000000"/>
      <w:sz w:val="20"/>
      <w:szCs w:val="20"/>
      <w:u w:val="none"/>
    </w:rPr>
  </w:style>
  <w:style w:type="character" w:customStyle="1" w:styleId="38">
    <w:name w:val="font11"/>
    <w:basedOn w:val="18"/>
    <w:qFormat/>
    <w:uiPriority w:val="0"/>
    <w:rPr>
      <w:rFonts w:hint="eastAsia" w:ascii="宋体" w:hAnsi="宋体" w:eastAsia="宋体" w:cs="宋体"/>
      <w:color w:val="000000"/>
      <w:sz w:val="20"/>
      <w:szCs w:val="20"/>
      <w:u w:val="none"/>
    </w:rPr>
  </w:style>
  <w:style w:type="character" w:customStyle="1" w:styleId="39">
    <w:name w:val="文档结构图 Char"/>
    <w:basedOn w:val="18"/>
    <w:link w:val="7"/>
    <w:semiHidden/>
    <w:qFormat/>
    <w:uiPriority w:val="99"/>
    <w:rPr>
      <w:rFonts w:ascii="宋体" w:hAnsi="Calibri" w:cstheme="minorBidi"/>
      <w:kern w:val="2"/>
      <w:sz w:val="18"/>
      <w:szCs w:val="18"/>
    </w:rPr>
  </w:style>
  <w:style w:type="paragraph" w:customStyle="1" w:styleId="40">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5" w:themeColor="accent1" w:themeShade="BF"/>
      <w:kern w:val="0"/>
      <w:sz w:val="28"/>
      <w:szCs w:val="28"/>
    </w:rPr>
  </w:style>
  <w:style w:type="paragraph" w:customStyle="1" w:styleId="41">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b:Sources xmlns:b="http://schemas.openxmlformats.org/officeDocument/2006/bibliography"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48F362D6-635C-4A5B-AB2A-3C9FDD06C125}">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1374</Words>
  <Characters>7835</Characters>
  <Lines>65</Lines>
  <Paragraphs>18</Paragraphs>
  <TotalTime>42</TotalTime>
  <ScaleCrop>false</ScaleCrop>
  <LinksUpToDate>false</LinksUpToDate>
  <CharactersWithSpaces>9191</CharactersWithSpaces>
  <Application>WPS Office_12.8.2.20327_F1E327BC-269C-435d-A152-05C5408002CA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2022-05-06T23:48:00Z</dcterms:created>
  <dc:creator>Administrator</dc:creator>
  <cp:lastModifiedBy>小小</cp:lastModifiedBy>
  <cp:lastPrinted>2022-04-27T17:30:00Z</cp:lastPrinted>
  <dcterms:modified xsi:type="dcterms:W3CDTF">2025-10-14T10:03:24Z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2052-12.8.2.20327</vt:lpwstr>
  </property>
  <property fmtid="{D5CDD505-2E9C-101B-9397-08002B2CF9AE}" pid="3" name="ICV">
    <vt:lpwstr>F4AB5D50A11745C2B7182915B62F95CB</vt:lpwstr>
  </property>
</Properties>
</file>