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b w:val="0"/>
          <w:bCs w:val="0"/>
          <w:sz w:val="32"/>
          <w:szCs w:val="32"/>
        </w:rPr>
      </w:pPr>
    </w:p>
    <w:p>
      <w:pPr>
        <w:spacing w:line="560" w:lineRule="exact"/>
        <w:jc w:val="center"/>
        <w:rPr>
          <w:rFonts w:ascii="仿宋_GB2312" w:eastAsia="仿宋_GB2312"/>
          <w:b w:val="0"/>
          <w:bCs w:val="0"/>
          <w:sz w:val="32"/>
          <w:szCs w:val="32"/>
        </w:rPr>
      </w:pPr>
    </w:p>
    <w:p>
      <w:pPr>
        <w:spacing w:line="560" w:lineRule="exact"/>
        <w:jc w:val="center"/>
        <w:rPr>
          <w:rFonts w:ascii="仿宋_GB2312" w:eastAsia="仿宋_GB2312"/>
          <w:b w:val="0"/>
          <w:bCs w:val="0"/>
          <w:sz w:val="32"/>
          <w:szCs w:val="32"/>
        </w:rPr>
      </w:pPr>
    </w:p>
    <w:p>
      <w:pPr>
        <w:spacing w:line="560" w:lineRule="exact"/>
        <w:jc w:val="center"/>
        <w:rPr>
          <w:rFonts w:ascii="仿宋_GB2312" w:eastAsia="仿宋_GB2312"/>
          <w:b w:val="0"/>
          <w:bCs w:val="0"/>
          <w:sz w:val="32"/>
          <w:szCs w:val="32"/>
        </w:rPr>
      </w:pPr>
    </w:p>
    <w:p>
      <w:pPr>
        <w:spacing w:line="560" w:lineRule="exact"/>
        <w:jc w:val="center"/>
        <w:rPr>
          <w:rFonts w:ascii="仿宋_GB2312" w:eastAsia="仿宋_GB2312"/>
          <w:b w:val="0"/>
          <w:bCs w:val="0"/>
          <w:sz w:val="32"/>
          <w:szCs w:val="32"/>
        </w:rPr>
      </w:pPr>
    </w:p>
    <w:p>
      <w:pPr>
        <w:spacing w:line="560" w:lineRule="exact"/>
        <w:jc w:val="center"/>
        <w:rPr>
          <w:rFonts w:ascii="仿宋_GB2312" w:eastAsia="仿宋_GB2312"/>
          <w:b w:val="0"/>
          <w:bCs w:val="0"/>
          <w:sz w:val="32"/>
          <w:szCs w:val="32"/>
        </w:rPr>
      </w:pPr>
    </w:p>
    <w:p>
      <w:pPr>
        <w:spacing w:line="560" w:lineRule="exact"/>
        <w:jc w:val="center"/>
        <w:rPr>
          <w:rFonts w:ascii="仿宋_GB2312" w:eastAsia="仿宋_GB2312"/>
          <w:b w:val="0"/>
          <w:bCs w:val="0"/>
          <w:sz w:val="32"/>
          <w:szCs w:val="32"/>
        </w:rPr>
      </w:pPr>
    </w:p>
    <w:p>
      <w:pPr>
        <w:spacing w:line="560" w:lineRule="exact"/>
        <w:jc w:val="center"/>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乐发〔202</w:t>
      </w: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5</w:t>
      </w:r>
      <w:r>
        <w:rPr>
          <w:rFonts w:ascii="Times New Roman" w:hAnsi="Times New Roman" w:eastAsia="仿宋_GB2312" w:cs="Times New Roman"/>
          <w:b w:val="0"/>
          <w:bCs w:val="0"/>
          <w:sz w:val="32"/>
          <w:szCs w:val="32"/>
        </w:rPr>
        <w:t>号</w:t>
      </w:r>
    </w:p>
    <w:p>
      <w:pPr>
        <w:spacing w:line="560" w:lineRule="exact"/>
        <w:jc w:val="center"/>
        <w:rPr>
          <w:rFonts w:ascii="仿宋_GB2312" w:hAnsi="仿宋_GB2312" w:eastAsia="仿宋_GB2312" w:cs="仿宋_GB2312"/>
          <w:b w:val="0"/>
          <w:bCs w:val="0"/>
          <w:sz w:val="32"/>
          <w:szCs w:val="32"/>
        </w:rPr>
      </w:pPr>
    </w:p>
    <w:p>
      <w:pPr>
        <w:spacing w:line="560" w:lineRule="exact"/>
        <w:jc w:val="center"/>
        <w:rPr>
          <w:rFonts w:ascii="仿宋_GB2312" w:hAnsi="仿宋_GB2312" w:eastAsia="仿宋_GB2312" w:cs="仿宋_GB2312"/>
          <w:b w:val="0"/>
          <w:bCs w:val="0"/>
          <w:sz w:val="32"/>
          <w:szCs w:val="32"/>
        </w:rPr>
      </w:pPr>
    </w:p>
    <w:p>
      <w:pPr>
        <w:spacing w:line="540" w:lineRule="exact"/>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spacing w:line="540" w:lineRule="exact"/>
        <w:jc w:val="cente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中共乐平市委</w:t>
      </w:r>
    </w:p>
    <w:p>
      <w:pPr>
        <w:spacing w:line="540" w:lineRule="exact"/>
        <w:jc w:val="cente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关于制定乐平市国民经济和社会发展第十四个五年规划和二〇三五年远景目标的建议</w:t>
      </w:r>
    </w:p>
    <w:p>
      <w:pPr>
        <w:pStyle w:val="3"/>
        <w:spacing w:after="0" w:line="540" w:lineRule="exact"/>
        <w:rPr>
          <w:rFonts w:ascii="楷体_GB2312" w:hAnsi="楷体_GB2312" w:eastAsia="楷体_GB2312" w:cs="楷体_GB2312"/>
          <w:b w:val="0"/>
          <w:bCs w:val="0"/>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val="0"/>
          <w:bCs w:val="0"/>
          <w:color w:val="000000" w:themeColor="text1"/>
          <w:sz w:val="32"/>
          <w:szCs w:val="32"/>
          <w:shd w:val="clear" w:color="auto" w:fill="FFFFFF"/>
          <w14:textFill>
            <w14:solidFill>
              <w14:schemeClr w14:val="tx1"/>
            </w14:solidFill>
          </w14:textFill>
        </w:rPr>
        <w:t>（二〇二一年一月十日中共乐平市委六届十一次全体会议通过）</w:t>
      </w:r>
    </w:p>
    <w:p>
      <w:pPr>
        <w:rPr>
          <w:b w:val="0"/>
          <w:bCs w:val="0"/>
        </w:rPr>
      </w:pPr>
    </w:p>
    <w:p>
      <w:pPr>
        <w:pStyle w:val="7"/>
        <w:spacing w:line="540" w:lineRule="exact"/>
        <w:ind w:firstLine="640" w:firstLineChars="200"/>
        <w:jc w:val="both"/>
        <w:rPr>
          <w:rFonts w:ascii="仿宋_GB2312" w:eastAsia="仿宋_GB2312" w:cstheme="minorBidi"/>
          <w:b w:val="0"/>
          <w:bCs w:val="0"/>
          <w:color w:val="000000" w:themeColor="text1"/>
          <w:kern w:val="21"/>
          <w:sz w:val="32"/>
          <w:szCs w:val="32"/>
          <w14:textFill>
            <w14:solidFill>
              <w14:schemeClr w14:val="tx1"/>
            </w14:solidFill>
          </w14:textFill>
        </w:rPr>
      </w:pPr>
      <w:r>
        <w:rPr>
          <w:rFonts w:hint="eastAsia" w:ascii="仿宋_GB2312" w:eastAsia="仿宋_GB2312" w:cstheme="minorBidi"/>
          <w:b w:val="0"/>
          <w:bCs w:val="0"/>
          <w:color w:val="000000" w:themeColor="text1"/>
          <w:kern w:val="21"/>
          <w:sz w:val="32"/>
          <w:szCs w:val="32"/>
          <w14:textFill>
            <w14:solidFill>
              <w14:schemeClr w14:val="tx1"/>
            </w14:solidFill>
          </w14:textFill>
        </w:rPr>
        <w:t>“十四五”时期，是我国“两个一百年”奋斗目标承前启后的历史交汇期，是我市与全国、全省同步全面建设社会主义现代化的开局起步期，是全面融入景德镇国家陶瓷文化传承创新试验区的关键期，是我市打造特色鲜明的现代化赣东北明珠的跨越期。中共乐平市委六届十一次全会深入学习贯彻党的十九届五中全会、省委十四届十二次全会、景德镇市委十一届十次全会精神，紧密结合乐平实际，就制定全市国民经济和社会发展“十四五”</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规划和二〇三五</w:t>
      </w:r>
      <w:r>
        <w:rPr>
          <w:rFonts w:hint="eastAsia" w:ascii="仿宋_GB2312" w:eastAsia="仿宋_GB2312" w:cstheme="minorBidi"/>
          <w:b w:val="0"/>
          <w:bCs w:val="0"/>
          <w:color w:val="000000" w:themeColor="text1"/>
          <w:kern w:val="21"/>
          <w:sz w:val="32"/>
          <w:szCs w:val="32"/>
          <w14:textFill>
            <w14:solidFill>
              <w14:schemeClr w14:val="tx1"/>
            </w14:solidFill>
          </w14:textFill>
        </w:rPr>
        <w:t>年远景目标提出以下建议。</w:t>
      </w:r>
    </w:p>
    <w:p>
      <w:pPr>
        <w:pStyle w:val="3"/>
        <w:spacing w:after="0" w:line="540" w:lineRule="exact"/>
        <w:ind w:firstLine="640" w:firstLineChars="200"/>
        <w:rPr>
          <w:rFonts w:eastAsia="黑体" w:cs="黑体"/>
          <w:b w:val="0"/>
          <w:bCs w:val="0"/>
          <w:color w:val="000000" w:themeColor="text1"/>
          <w:kern w:val="21"/>
          <w:sz w:val="32"/>
          <w:szCs w:val="32"/>
          <w14:textFill>
            <w14:solidFill>
              <w14:schemeClr w14:val="tx1"/>
            </w14:solidFill>
          </w14:textFill>
        </w:rPr>
      </w:pPr>
      <w:r>
        <w:rPr>
          <w:rFonts w:eastAsia="黑体"/>
          <w:b w:val="0"/>
          <w:bCs w:val="0"/>
          <w:color w:val="000000" w:themeColor="text1"/>
          <w:kern w:val="21"/>
          <w:sz w:val="32"/>
          <w:szCs w:val="32"/>
          <w14:textFill>
            <w14:solidFill>
              <w14:schemeClr w14:val="tx1"/>
            </w14:solidFill>
          </w14:textFill>
        </w:rPr>
        <w:t>一、</w:t>
      </w:r>
      <w:r>
        <w:rPr>
          <w:rFonts w:hint="eastAsia" w:eastAsia="黑体" w:cs="黑体"/>
          <w:b w:val="0"/>
          <w:bCs w:val="0"/>
          <w:color w:val="000000" w:themeColor="text1"/>
          <w:kern w:val="21"/>
          <w:sz w:val="32"/>
          <w:szCs w:val="32"/>
          <w14:textFill>
            <w14:solidFill>
              <w14:schemeClr w14:val="tx1"/>
            </w14:solidFill>
          </w14:textFill>
        </w:rPr>
        <w:t>胜利实现同步全面建成小康社会，奋力描绘新征程特色鲜明的现代化赣东北明珠改革发展新画卷</w:t>
      </w:r>
    </w:p>
    <w:p>
      <w:pPr>
        <w:pStyle w:val="3"/>
        <w:spacing w:after="0" w:line="540" w:lineRule="exact"/>
        <w:ind w:firstLine="640" w:firstLineChars="200"/>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1.乐平取得全面建成小康社会决定性成就。</w:t>
      </w:r>
    </w:p>
    <w:p>
      <w:pPr>
        <w:pStyle w:val="3"/>
        <w:spacing w:after="0" w:line="540" w:lineRule="exact"/>
        <w:ind w:firstLine="640" w:firstLineChars="200"/>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十三五”时期，在以习近平同志为核心的党中央坚强领导下，市委坚持以习近平新时代中国特色社会主义思想为指导，团结带领全市人民，深入贯彻习近平总书记视察江西重要讲话精神，不忘初心、牢记使命，感恩奋进、担当实干，坚持“大学、大干、大变”，有效应对各类风险挑战特别是新冠肺炎疫情的严重冲击，奋力建设“六大明珠”，如期与全国全省同步全面建成小康社会，为</w:t>
      </w:r>
      <w:r>
        <w:rPr>
          <w:rFonts w:hint="eastAsia" w:ascii="仿宋_GB2312" w:eastAsia="仿宋_GB2312"/>
          <w:b w:val="0"/>
          <w:bCs w:val="0"/>
          <w:color w:val="000000" w:themeColor="text1"/>
          <w:spacing w:val="-6"/>
          <w:kern w:val="21"/>
          <w:sz w:val="32"/>
          <w:szCs w:val="32"/>
          <w14:textFill>
            <w14:solidFill>
              <w14:schemeClr w14:val="tx1"/>
            </w14:solidFill>
          </w14:textFill>
        </w:rPr>
        <w:t>“十四五”开启全面建设社会主义现代化新征程奠定了坚实基础。</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经济明珠量质双升。</w:t>
      </w:r>
      <w:r>
        <w:rPr>
          <w:rFonts w:hint="eastAsia" w:ascii="仿宋_GB2312" w:eastAsia="仿宋_GB2312"/>
          <w:b w:val="0"/>
          <w:bCs w:val="0"/>
          <w:color w:val="000000" w:themeColor="text1"/>
          <w:kern w:val="21"/>
          <w:sz w:val="32"/>
          <w:szCs w:val="32"/>
          <w14:textFill>
            <w14:solidFill>
              <w14:schemeClr w14:val="tx1"/>
            </w14:solidFill>
          </w14:textFill>
        </w:rPr>
        <w:t>经济指标稳中有进。地区生产总值</w:t>
      </w:r>
      <w:bookmarkStart w:id="0" w:name="_Hlk57886372"/>
      <w:r>
        <w:rPr>
          <w:rFonts w:hint="eastAsia" w:ascii="仿宋_GB2312" w:eastAsia="仿宋_GB2312"/>
          <w:b w:val="0"/>
          <w:bCs w:val="0"/>
          <w:color w:val="000000" w:themeColor="text1"/>
          <w:kern w:val="21"/>
          <w:sz w:val="32"/>
          <w:szCs w:val="32"/>
          <w14:textFill>
            <w14:solidFill>
              <w14:schemeClr w14:val="tx1"/>
            </w14:solidFill>
          </w14:textFill>
        </w:rPr>
        <w:t>较“十二五末”预计增加88亿元，</w:t>
      </w:r>
      <w:bookmarkEnd w:id="0"/>
      <w:r>
        <w:rPr>
          <w:rFonts w:hint="eastAsia" w:ascii="仿宋_GB2312" w:eastAsia="仿宋_GB2312"/>
          <w:b w:val="0"/>
          <w:bCs w:val="0"/>
          <w:color w:val="000000" w:themeColor="text1"/>
          <w:kern w:val="21"/>
          <w:sz w:val="32"/>
          <w:szCs w:val="32"/>
          <w14:textFill>
            <w14:solidFill>
              <w14:schemeClr w14:val="tx1"/>
            </w14:solidFill>
          </w14:textFill>
        </w:rPr>
        <w:t>增长44%，</w:t>
      </w:r>
      <w:r>
        <w:rPr>
          <w:rFonts w:hint="eastAsia" w:ascii="仿宋_GB2312" w:eastAsia="仿宋_GB2312"/>
          <w:b w:val="0"/>
          <w:bCs w:val="0"/>
          <w:color w:val="FF0000"/>
          <w:kern w:val="21"/>
          <w:sz w:val="32"/>
          <w:szCs w:val="32"/>
        </w:rPr>
        <w:t>按可比价格计算年均增长7.5%，</w:t>
      </w:r>
      <w:r>
        <w:rPr>
          <w:rFonts w:hint="eastAsia" w:ascii="仿宋_GB2312" w:eastAsia="仿宋_GB2312"/>
          <w:b w:val="0"/>
          <w:bCs w:val="0"/>
          <w:color w:val="000000" w:themeColor="text1"/>
          <w:kern w:val="21"/>
          <w:sz w:val="32"/>
          <w:szCs w:val="32"/>
          <w14:textFill>
            <w14:solidFill>
              <w14:schemeClr w14:val="tx1"/>
            </w14:solidFill>
          </w14:textFill>
        </w:rPr>
        <w:t>人均地区生产总值预计超过4万元，较“十二五”末增加1万元，增长40%；城镇、农村人均可支配收入较“十二五”末预计分别增加12288元增长45.8</w:t>
      </w:r>
      <w:r>
        <w:rPr>
          <w:rFonts w:ascii="仿宋_GB2312" w:eastAsia="仿宋_GB2312"/>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，增加6359元增长50.1</w:t>
      </w:r>
      <w:r>
        <w:rPr>
          <w:rFonts w:ascii="仿宋_GB2312" w:eastAsia="仿宋_GB2312"/>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。产业结构持续优化。产业结构调整为11：46.8：42.2，与“十二五”末比，一产、二产增加值比重分别降低1.9和9.4个百分点，三产增加值比重提高11.3个百分点。经济质量明显提升。五年来，“四上”企业新增218家</w:t>
      </w:r>
      <w:r>
        <w:rPr>
          <w:rFonts w:hint="eastAsia" w:ascii="仿宋_GB2312" w:eastAsia="仿宋_GB2312"/>
          <w:b w:val="0"/>
          <w:bCs w:val="0"/>
          <w:color w:val="000000" w:themeColor="text1"/>
          <w:kern w:val="21"/>
          <w:sz w:val="32"/>
          <w:szCs w:val="32"/>
          <w:lang w:eastAsia="zh-CN"/>
          <w14:textFill>
            <w14:solidFill>
              <w14:schemeClr w14:val="tx1"/>
            </w14:solidFill>
          </w14:textFill>
        </w:rPr>
        <w:t>，</w:t>
      </w:r>
      <w:r>
        <w:rPr>
          <w:rFonts w:hint="eastAsia" w:ascii="仿宋_GB2312" w:eastAsia="仿宋_GB2312"/>
          <w:b w:val="0"/>
          <w:bCs w:val="0"/>
          <w:color w:val="FF0000"/>
          <w:kern w:val="21"/>
          <w:sz w:val="32"/>
          <w:szCs w:val="32"/>
        </w:rPr>
        <w:t>总数达到342家</w:t>
      </w:r>
      <w:r>
        <w:rPr>
          <w:rFonts w:hint="eastAsia" w:ascii="仿宋_GB2312" w:eastAsia="仿宋_GB2312"/>
          <w:b w:val="0"/>
          <w:bCs w:val="0"/>
          <w:color w:val="000000" w:themeColor="text1"/>
          <w:kern w:val="21"/>
          <w:sz w:val="32"/>
          <w:szCs w:val="32"/>
          <w14:textFill>
            <w14:solidFill>
              <w14:schemeClr w14:val="tx1"/>
            </w14:solidFill>
          </w14:textFill>
        </w:rPr>
        <w:t>，其中规上工业企业新增57家，规上商贸及服务业企业新增138家；五年来，新引进项目207个，总投资401.1亿元，其中亿元以上项目51个，已建成投产及加速推进的项目106个；跻身</w:t>
      </w:r>
      <w:r>
        <w:rPr>
          <w:rFonts w:hint="eastAsia" w:ascii="仿宋_GB2312" w:eastAsia="仿宋_GB2312"/>
          <w:b w:val="0"/>
          <w:bCs w:val="0"/>
          <w:color w:val="FF0000"/>
          <w:kern w:val="21"/>
          <w:sz w:val="32"/>
          <w:szCs w:val="32"/>
        </w:rPr>
        <w:t>中国县域经济300强\位列162位，中国最具投资潜力特色经济城市20强，</w:t>
      </w:r>
      <w:r>
        <w:rPr>
          <w:rFonts w:hint="eastAsia" w:ascii="仿宋_GB2312" w:eastAsia="仿宋_GB2312"/>
          <w:b w:val="0"/>
          <w:bCs w:val="0"/>
          <w:color w:val="000000" w:themeColor="text1"/>
          <w:kern w:val="21"/>
          <w:sz w:val="32"/>
          <w:szCs w:val="32"/>
          <w14:textFill>
            <w14:solidFill>
              <w14:schemeClr w14:val="tx1"/>
            </w14:solidFill>
          </w14:textFill>
        </w:rPr>
        <w:t>荣获全省加快工业发展加速工业崛起“年度贡献奖”、工业高质量发展先进县(市、区)、农业和农村工作先进县市等70余项国家、省级奖项，宏柏新材料成为江西省首家主板上市台资企业。中远农业、天新药业、世龙实业获2019、2020年江西民营企业100强。</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开放明珠深入拓展。</w:t>
      </w:r>
      <w:r>
        <w:rPr>
          <w:rFonts w:hint="eastAsia" w:ascii="仿宋_GB2312" w:eastAsia="仿宋_GB2312"/>
          <w:b w:val="0"/>
          <w:bCs w:val="0"/>
          <w:color w:val="000000" w:themeColor="text1"/>
          <w:kern w:val="21"/>
          <w:sz w:val="32"/>
          <w:szCs w:val="32"/>
          <w14:textFill>
            <w14:solidFill>
              <w14:schemeClr w14:val="tx1"/>
            </w14:solidFill>
          </w14:textFill>
        </w:rPr>
        <w:t>开放活市战略深入实施。全面融入景德镇国家陶瓷文化传承创新试验区，积极参与赣东北开放合作，全力推进景乐一体化，南窑遗址入选第八批全国重点文物保护单位名单，推进了全域旅游发展。国内国际市场纵深开拓。天新总部、赛复乐、广东同宇</w:t>
      </w:r>
      <w:r>
        <w:rPr>
          <w:rFonts w:hint="eastAsia" w:ascii="仿宋_GB2312" w:eastAsia="仿宋_GB2312"/>
          <w:b w:val="0"/>
          <w:bCs w:val="0"/>
          <w:color w:val="FF0000"/>
          <w:kern w:val="21"/>
          <w:sz w:val="32"/>
          <w:szCs w:val="32"/>
        </w:rPr>
        <w:t>、晟德医疗</w:t>
      </w:r>
      <w:r>
        <w:rPr>
          <w:rFonts w:hint="eastAsia" w:ascii="仿宋_GB2312" w:eastAsia="仿宋_GB2312"/>
          <w:b w:val="0"/>
          <w:bCs w:val="0"/>
          <w:color w:val="000000" w:themeColor="text1"/>
          <w:kern w:val="21"/>
          <w:sz w:val="32"/>
          <w:szCs w:val="32"/>
          <w14:textFill>
            <w14:solidFill>
              <w14:schemeClr w14:val="tx1"/>
            </w14:solidFill>
          </w14:textFill>
        </w:rPr>
        <w:t>等一批“5020”项目落户，荣获2017-2019年全省开放型经济利用省外项目资金先进单位。重大项目建设加快实施。五年来，累计安排市重点建设项目263个，总投资855亿元，累计完成投资436亿元，建成了高精锻压、承诚实业、德孚环保、城市外环和G206大田至梅冲段公路等一批重点建设项目，荣获省2019年首批及时奖励。国家级精细化工产业园区成色更足，特色产业体系初具规模。乐平工业园被中国石化联合会列为第二批中国智慧化工园区试点示范（创建）单位。</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活力明珠动能强劲。</w:t>
      </w:r>
      <w:r>
        <w:rPr>
          <w:rFonts w:hint="eastAsia" w:ascii="仿宋_GB2312" w:eastAsia="仿宋_GB2312"/>
          <w:b w:val="0"/>
          <w:bCs w:val="0"/>
          <w:color w:val="000000" w:themeColor="text1"/>
          <w:kern w:val="21"/>
          <w:sz w:val="32"/>
          <w:szCs w:val="32"/>
          <w14:textFill>
            <w14:solidFill>
              <w14:schemeClr w14:val="tx1"/>
            </w14:solidFill>
          </w14:textFill>
        </w:rPr>
        <w:t>大众创业活力高涨。科技创新成为第一动力，国家高新技术企业达40家，国家级“星创天地”7家、占全省十分之一，4家企业入选省“双千计划”，多次获得全省科技成果、科技进步奖。深化改革全面深入。顺利完成754项改革任务和143项自选措施，“一次不跑”“只跑一次”办理率达90%以上。率先在全省推行改革督察全覆盖，率先在全省实施改革述职评议，率先在全省实行改革创新重奖激励，江西日报头版多次报道我市改革做法，涌山镇荣获全省基层改革管理创新成果展示类评比一等奖。社会治理有力探索。殡葬改革上报国家生态委被点名肯定。培育发展了“帮帮团”等公益性社会组织，探索出一条中小城市加强城市基层党建引领城市社会治理的新路径，获评全国城市基层党建创新优秀案例，列为全国城市基层党建工作示范市。</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生态明珠魅力彰显</w:t>
      </w:r>
      <w:r>
        <w:rPr>
          <w:rFonts w:hint="eastAsia" w:ascii="仿宋_GB2312" w:eastAsia="仿宋_GB2312"/>
          <w:b w:val="0"/>
          <w:bCs w:val="0"/>
          <w:color w:val="000000" w:themeColor="text1"/>
          <w:kern w:val="21"/>
          <w:sz w:val="32"/>
          <w:szCs w:val="32"/>
          <w14:textFill>
            <w14:solidFill>
              <w14:schemeClr w14:val="tx1"/>
            </w14:solidFill>
          </w14:textFill>
        </w:rPr>
        <w:t>。全力抓好了城乡环境整治、环保专项整改、生态保护管控等工作，有效开展了园区“三废”治理、“十小企业”整治、水库规模养殖清理等专项行动，空气优良率达90.3%，野鸡山国控断面水质长期保持Ⅲ类以上，顺利通过了中央环保“回头看”，多次被中央电视台报道。成功创建“省级森林城市”，洪岩荣获“国家森林公园”“全国文明乡镇”，十里岗镇篁坞村等4个村庄荣获第一批“国家森林村镇”荣誉称号。狠抓“双创双修”，推进城市品质提升和乡村人居环境整治，荣获全国文明城市提名城市、江西省卫生城市、全省城市功能与品质提升考核优秀县（市、区）、全省2019年城乡环境整治综合考核第三名、“五定包干”村庄环境整治长效管护工作考核排名第8。“垃圾革命”“厕所革命”“污水革命”稳步推进。</w:t>
      </w:r>
    </w:p>
    <w:p>
      <w:pPr>
        <w:pStyle w:val="3"/>
        <w:spacing w:after="0" w:line="540" w:lineRule="exact"/>
        <w:ind w:firstLine="640" w:firstLineChars="200"/>
        <w:rPr>
          <w:rFonts w:ascii="仿宋_GB2312" w:eastAsia="仿宋_GB2312"/>
          <w:b w:val="0"/>
          <w:bCs w:val="0"/>
          <w:color w:val="000000" w:themeColor="text1"/>
          <w:spacing w:val="-17"/>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和谐明珠全面开花。</w:t>
      </w:r>
      <w:r>
        <w:rPr>
          <w:rFonts w:hint="eastAsia" w:ascii="仿宋_GB2312" w:eastAsia="仿宋_GB2312"/>
          <w:b w:val="0"/>
          <w:bCs w:val="0"/>
          <w:color w:val="000000" w:themeColor="text1"/>
          <w:kern w:val="21"/>
          <w:sz w:val="32"/>
          <w:szCs w:val="32"/>
          <w14:textFill>
            <w14:solidFill>
              <w14:schemeClr w14:val="tx1"/>
            </w14:solidFill>
          </w14:textFill>
        </w:rPr>
        <w:t>民生福祉有效提升。54个贫困村13929个贫困人口如期脱贫；疫情防控</w:t>
      </w:r>
      <w:r>
        <w:rPr>
          <w:rFonts w:hint="eastAsia" w:ascii="仿宋_GB2312" w:eastAsia="仿宋_GB2312"/>
          <w:b w:val="0"/>
          <w:bCs w:val="0"/>
          <w:color w:val="FF0000"/>
          <w:kern w:val="21"/>
          <w:sz w:val="32"/>
          <w:szCs w:val="32"/>
        </w:rPr>
        <w:t>自2020年2月份</w:t>
      </w:r>
      <w:r>
        <w:rPr>
          <w:rFonts w:hint="eastAsia" w:ascii="仿宋_GB2312" w:eastAsia="仿宋_GB2312"/>
          <w:b w:val="0"/>
          <w:bCs w:val="0"/>
          <w:color w:val="FF0000"/>
          <w:kern w:val="21"/>
          <w:sz w:val="32"/>
          <w:szCs w:val="32"/>
          <w:lang w:val="en-US" w:eastAsia="zh-CN"/>
        </w:rPr>
        <w:t>开始</w:t>
      </w:r>
      <w:r>
        <w:rPr>
          <w:rFonts w:hint="eastAsia" w:ascii="仿宋_GB2312" w:eastAsia="仿宋_GB2312"/>
          <w:b w:val="0"/>
          <w:bCs w:val="0"/>
          <w:color w:val="FF0000"/>
          <w:kern w:val="21"/>
          <w:sz w:val="32"/>
          <w:szCs w:val="32"/>
        </w:rPr>
        <w:t>实现</w:t>
      </w:r>
      <w:r>
        <w:rPr>
          <w:rFonts w:hint="eastAsia" w:ascii="仿宋_GB2312" w:eastAsia="仿宋_GB2312"/>
          <w:b w:val="0"/>
          <w:bCs w:val="0"/>
          <w:color w:val="000000" w:themeColor="text1"/>
          <w:kern w:val="21"/>
          <w:sz w:val="32"/>
          <w:szCs w:val="32"/>
          <w14:textFill>
            <w14:solidFill>
              <w14:schemeClr w14:val="tx1"/>
            </w14:solidFill>
          </w14:textFill>
        </w:rPr>
        <w:t>无新增确诊病例、无疑似病例和没有无症状感染者；成功应对建国以来第四高水位洪灾。民生堵点有力化解。彻底根治困扰城区多年的“红皮车”“蓝皮棚”乱象；全面禁止了城区燃放烟花爆竹；实现城乡“环卫、供水、交通一体化”；实现工业园废气基本不进城、昌景黄铁路乐平北站同步建设；临港</w:t>
      </w:r>
      <w:r>
        <w:rPr>
          <w:rFonts w:hint="eastAsia" w:ascii="仿宋_GB2312" w:eastAsia="仿宋_GB2312"/>
          <w:b w:val="0"/>
          <w:bCs w:val="0"/>
          <w:color w:val="FF0000"/>
          <w:kern w:val="21"/>
          <w:sz w:val="32"/>
          <w:szCs w:val="32"/>
        </w:rPr>
        <w:t>涌山</w:t>
      </w:r>
      <w:r>
        <w:rPr>
          <w:rFonts w:hint="eastAsia" w:ascii="仿宋_GB2312" w:eastAsia="仿宋_GB2312"/>
          <w:b w:val="0"/>
          <w:bCs w:val="0"/>
          <w:color w:val="000000" w:themeColor="text1"/>
          <w:kern w:val="21"/>
          <w:sz w:val="32"/>
          <w:szCs w:val="32"/>
          <w14:textFill>
            <w14:solidFill>
              <w14:schemeClr w14:val="tx1"/>
            </w14:solidFill>
          </w14:textFill>
        </w:rPr>
        <w:t>片区3.4万居民用上“安全优质电”。民生事业有序发展。教育事业2018年国家考评跻身全省县市第六名，义务教育基本均衡发展连续两年被</w:t>
      </w:r>
      <w:r>
        <w:rPr>
          <w:rFonts w:hint="eastAsia" w:ascii="仿宋_GB2312" w:eastAsia="仿宋_GB2312"/>
          <w:b w:val="0"/>
          <w:bCs w:val="0"/>
          <w:color w:val="000000" w:themeColor="text1"/>
          <w:kern w:val="21"/>
          <w:sz w:val="32"/>
          <w:szCs w:val="32"/>
          <w:lang w:eastAsia="zh-CN"/>
          <w14:textFill>
            <w14:solidFill>
              <w14:schemeClr w14:val="tx1"/>
            </w14:solidFill>
          </w14:textFill>
        </w:rPr>
        <w:t>表</w:t>
      </w:r>
      <w:r>
        <w:rPr>
          <w:rFonts w:hint="eastAsia" w:ascii="仿宋_GB2312" w:eastAsia="仿宋_GB2312"/>
          <w:b w:val="0"/>
          <w:bCs w:val="0"/>
          <w:color w:val="000000" w:themeColor="text1"/>
          <w:kern w:val="21"/>
          <w:sz w:val="32"/>
          <w:szCs w:val="32"/>
          <w14:textFill>
            <w14:solidFill>
              <w14:schemeClr w14:val="tx1"/>
            </w14:solidFill>
          </w14:textFill>
        </w:rPr>
        <w:t>彰为全省先进，2020年高考取得理科全省第二、文理科景德镇市双第一的最好成绩，6名同学录取清华、北大。连续17年未发生重特大安全事故，实现双拥全省“八连冠”，荣获中国古戏台之乡、全国“六五”“</w:t>
      </w:r>
      <w:r>
        <w:rPr>
          <w:rFonts w:hint="eastAsia" w:ascii="仿宋_GB2312" w:eastAsia="仿宋_GB2312"/>
          <w:b w:val="0"/>
          <w:bCs w:val="0"/>
          <w:color w:val="000000" w:themeColor="text1"/>
          <w:spacing w:val="-17"/>
          <w:kern w:val="21"/>
          <w:sz w:val="32"/>
          <w:szCs w:val="32"/>
          <w14:textFill>
            <w14:solidFill>
              <w14:schemeClr w14:val="tx1"/>
            </w14:solidFill>
          </w14:textFill>
        </w:rPr>
        <w:t>七五”普法先进县（市、区）、全国“十三五”科普示范县（市、区）。</w:t>
      </w:r>
    </w:p>
    <w:p>
      <w:pPr>
        <w:pStyle w:val="19"/>
        <w:spacing w:line="540" w:lineRule="exact"/>
        <w:ind w:left="0" w:leftChars="0" w:firstLine="640" w:firstLineChars="200"/>
        <w:rPr>
          <w:rFonts w:ascii="仿宋_GB2312" w:eastAsia="仿宋_GB2312" w:hAnsiTheme="minorHAnsi" w:cstheme="minorBidi"/>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廉洁明珠纵深推进。</w:t>
      </w:r>
      <w:r>
        <w:rPr>
          <w:rFonts w:hint="eastAsia" w:ascii="仿宋_GB2312" w:eastAsia="仿宋_GB2312" w:hAnsiTheme="minorHAnsi" w:cstheme="minorBidi"/>
          <w:b w:val="0"/>
          <w:bCs w:val="0"/>
          <w:color w:val="000000" w:themeColor="text1"/>
          <w:kern w:val="21"/>
          <w:sz w:val="32"/>
          <w:szCs w:val="32"/>
          <w14:textFill>
            <w14:solidFill>
              <w14:schemeClr w14:val="tx1"/>
            </w14:solidFill>
          </w14:textFill>
        </w:rPr>
        <w:t>理论武装扎实推进，党员干部理论素养和作风建设不断加强，市委理论学习中心组作为全省先进报送中宣部，“古戏台讲堂”宣讲团荣获全国基层理论宣讲先进集体。基层建设稳步推进。顺利完成县乡领导班子和村“两委”干部换届、党政群团和事业单位机构改革、纪检监察体制改革、意识形态责任制落实、人才发展体制机制改革、基层减负、基层党建“三化”建设等工作任务；“新时代文明实践站所”“群众说事”“党群便民服务室”“党小组服务驿站”“红心服务台”等党建亮点涌现。全面从严治党纵深推进。率先在全省全面推行乡镇机关干部绩效考核，村级纪检监察员、乡镇纪委标准化规范化建设和同级监督“一卡两问三书四单”做法得到省纪委肯定，届内政治巡察、派驻监督实现全覆盖，政治生态更加风清气正。</w:t>
      </w:r>
    </w:p>
    <w:p>
      <w:pPr>
        <w:pStyle w:val="19"/>
        <w:spacing w:line="540" w:lineRule="exact"/>
        <w:ind w:left="0" w:leftChars="0" w:firstLine="640" w:firstLineChars="200"/>
        <w:rPr>
          <w:rStyle w:val="20"/>
          <w:rFonts w:ascii="仿宋_GB2312" w:eastAsia="仿宋_GB2312"/>
          <w:b w:val="0"/>
          <w:bCs w:val="0"/>
          <w:color w:val="000000" w:themeColor="text1"/>
          <w:kern w:val="21"/>
          <w:sz w:val="32"/>
          <w:szCs w:val="32"/>
          <w14:textFill>
            <w14:solidFill>
              <w14:schemeClr w14:val="tx1"/>
            </w14:solidFill>
          </w14:textFill>
        </w:rPr>
      </w:pPr>
      <w:r>
        <w:rPr>
          <w:rStyle w:val="20"/>
          <w:rFonts w:hint="eastAsia" w:ascii="仿宋_GB2312" w:eastAsia="仿宋_GB2312"/>
          <w:b w:val="0"/>
          <w:bCs w:val="0"/>
          <w:color w:val="000000" w:themeColor="text1"/>
          <w:kern w:val="21"/>
          <w:sz w:val="32"/>
          <w:szCs w:val="32"/>
          <w14:textFill>
            <w14:solidFill>
              <w14:schemeClr w14:val="tx1"/>
            </w14:solidFill>
          </w14:textFill>
        </w:rPr>
        <w:t>五年来的大学大干大变，充分彰显了习近平新时代中国特色社会主义思想的真理伟力，必须始终不渝按照习近平总书记指引的方向笃定前行，用心用情用力落实习近平总书记殷殷嘱托，把习近平总书记为我们擘画的宏伟蓝图变为美好现实；五年来的大学大干大变，充分证明了“打造特色鲜明的现代化赣东北明珠”战略行动符合党中央、省委和景德镇市委精神，切合乐平实际，顺应人民期盼，必须保持定力、一以贯之、接续奋斗；五年来的大学大干大变，充分体现了省委、省政府和景德镇市委、市政府的关心关怀，同时也充分展示了乐平人民忠诚执着、豪迈奋进、敢做善为、勇创一流的优良品质和时代风貌，必须感恩奋进、一鼓作气、再攀高峰，在全面建设社会主义现代化的伟大征程中展现更大作为。</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2.乐平全面建设社会主义现代化面临机遇和挑战。</w:t>
      </w:r>
      <w:r>
        <w:rPr>
          <w:rFonts w:hint="eastAsia" w:ascii="仿宋_GB2312" w:eastAsia="仿宋_GB2312"/>
          <w:b w:val="0"/>
          <w:bCs w:val="0"/>
          <w:color w:val="000000" w:themeColor="text1"/>
          <w:kern w:val="21"/>
          <w:sz w:val="32"/>
          <w:szCs w:val="32"/>
          <w14:textFill>
            <w14:solidFill>
              <w14:schemeClr w14:val="tx1"/>
            </w14:solidFill>
          </w14:textFill>
        </w:rPr>
        <w:t>当前和今后一个时期，我市仍处于重要战略机遇期，但机遇和挑战都有新的发展变化。我国进入新发展阶段，长期向好的基本面没有改变，稳中求进的总基调巩固深化，对经济工作“五个根本”的规律性认识明显增强，内循环和双循环相互促进的新发展格局加快形成，为乐平促进区位优势、产业优势、生态优势、资源优势和国家战略优势适配叠加、协同推进、变道超车、换档超车提供了机遇、保障和支撑。特别是习近平总书记</w:t>
      </w:r>
      <w:r>
        <w:rPr>
          <w:rFonts w:ascii="仿宋_GB2312" w:eastAsia="仿宋_GB2312"/>
          <w:b w:val="0"/>
          <w:bCs w:val="0"/>
          <w:color w:val="000000" w:themeColor="text1"/>
          <w:kern w:val="21"/>
          <w:sz w:val="32"/>
          <w:szCs w:val="32"/>
          <w14:textFill>
            <w14:solidFill>
              <w14:schemeClr w14:val="tx1"/>
            </w14:solidFill>
          </w14:textFill>
        </w:rPr>
        <w:t>对江西提出</w:t>
      </w:r>
      <w:r>
        <w:rPr>
          <w:rFonts w:hint="eastAsia" w:ascii="仿宋_GB2312" w:eastAsia="仿宋_GB2312"/>
          <w:b w:val="0"/>
          <w:bCs w:val="0"/>
          <w:color w:val="000000" w:themeColor="text1"/>
          <w:kern w:val="21"/>
          <w:sz w:val="32"/>
          <w:szCs w:val="32"/>
          <w14:textFill>
            <w14:solidFill>
              <w14:schemeClr w14:val="tx1"/>
            </w14:solidFill>
          </w14:textFill>
        </w:rPr>
        <w:t>的“作示范、勇争先”目标定位和“五个推进”</w:t>
      </w:r>
      <w:r>
        <w:rPr>
          <w:rFonts w:ascii="仿宋_GB2312" w:eastAsia="仿宋_GB2312"/>
          <w:b w:val="0"/>
          <w:bCs w:val="0"/>
          <w:color w:val="000000" w:themeColor="text1"/>
          <w:kern w:val="21"/>
          <w:sz w:val="32"/>
          <w:szCs w:val="32"/>
          <w14:textFill>
            <w14:solidFill>
              <w14:schemeClr w14:val="tx1"/>
            </w14:solidFill>
          </w14:textFill>
        </w:rPr>
        <w:t>重要要求，</w:t>
      </w:r>
      <w:r>
        <w:rPr>
          <w:rFonts w:hint="eastAsia" w:ascii="仿宋_GB2312" w:eastAsia="仿宋_GB2312"/>
          <w:b w:val="0"/>
          <w:bCs w:val="0"/>
          <w:color w:val="000000" w:themeColor="text1"/>
          <w:kern w:val="21"/>
          <w:sz w:val="32"/>
          <w:szCs w:val="32"/>
          <w14:textFill>
            <w14:solidFill>
              <w14:schemeClr w14:val="tx1"/>
            </w14:solidFill>
          </w14:textFill>
        </w:rPr>
        <w:t>是描绘</w:t>
      </w:r>
      <w:r>
        <w:rPr>
          <w:rFonts w:ascii="仿宋_GB2312" w:eastAsia="仿宋_GB2312"/>
          <w:b w:val="0"/>
          <w:bCs w:val="0"/>
          <w:color w:val="000000" w:themeColor="text1"/>
          <w:kern w:val="21"/>
          <w:sz w:val="32"/>
          <w:szCs w:val="32"/>
          <w14:textFill>
            <w14:solidFill>
              <w14:schemeClr w14:val="tx1"/>
            </w14:solidFill>
          </w14:textFill>
        </w:rPr>
        <w:t>新时代</w:t>
      </w:r>
      <w:r>
        <w:rPr>
          <w:rFonts w:hint="eastAsia" w:ascii="仿宋_GB2312" w:eastAsia="仿宋_GB2312"/>
          <w:b w:val="0"/>
          <w:bCs w:val="0"/>
          <w:color w:val="000000" w:themeColor="text1"/>
          <w:kern w:val="21"/>
          <w:sz w:val="32"/>
          <w:szCs w:val="32"/>
          <w14:textFill>
            <w14:solidFill>
              <w14:schemeClr w14:val="tx1"/>
            </w14:solidFill>
          </w14:textFill>
        </w:rPr>
        <w:t>乐平</w:t>
      </w:r>
      <w:r>
        <w:rPr>
          <w:rFonts w:ascii="仿宋_GB2312" w:eastAsia="仿宋_GB2312"/>
          <w:b w:val="0"/>
          <w:bCs w:val="0"/>
          <w:color w:val="000000" w:themeColor="text1"/>
          <w:kern w:val="21"/>
          <w:sz w:val="32"/>
          <w:szCs w:val="32"/>
          <w14:textFill>
            <w14:solidFill>
              <w14:schemeClr w14:val="tx1"/>
            </w14:solidFill>
          </w14:textFill>
        </w:rPr>
        <w:t>改革发展</w:t>
      </w:r>
      <w:r>
        <w:rPr>
          <w:rFonts w:hint="eastAsia" w:ascii="仿宋_GB2312" w:eastAsia="仿宋_GB2312"/>
          <w:b w:val="0"/>
          <w:bCs w:val="0"/>
          <w:color w:val="000000" w:themeColor="text1"/>
          <w:kern w:val="21"/>
          <w:sz w:val="32"/>
          <w:szCs w:val="32"/>
          <w14:textFill>
            <w14:solidFill>
              <w14:schemeClr w14:val="tx1"/>
            </w14:solidFill>
          </w14:textFill>
        </w:rPr>
        <w:t>新画卷的</w:t>
      </w:r>
      <w:r>
        <w:rPr>
          <w:rFonts w:ascii="仿宋_GB2312" w:eastAsia="仿宋_GB2312"/>
          <w:b w:val="0"/>
          <w:bCs w:val="0"/>
          <w:color w:val="000000" w:themeColor="text1"/>
          <w:kern w:val="21"/>
          <w:sz w:val="32"/>
          <w:szCs w:val="32"/>
          <w14:textFill>
            <w14:solidFill>
              <w14:schemeClr w14:val="tx1"/>
            </w14:solidFill>
          </w14:textFill>
        </w:rPr>
        <w:t>方向</w:t>
      </w:r>
      <w:r>
        <w:rPr>
          <w:rFonts w:hint="eastAsia" w:ascii="仿宋_GB2312" w:eastAsia="仿宋_GB2312"/>
          <w:b w:val="0"/>
          <w:bCs w:val="0"/>
          <w:color w:val="000000" w:themeColor="text1"/>
          <w:kern w:val="21"/>
          <w:sz w:val="32"/>
          <w:szCs w:val="32"/>
          <w14:textFill>
            <w14:solidFill>
              <w14:schemeClr w14:val="tx1"/>
            </w14:solidFill>
          </w14:textFill>
        </w:rPr>
        <w:t>和航标、动力和源泉</w:t>
      </w:r>
      <w:r>
        <w:rPr>
          <w:rFonts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同时，也要清醒地看到，</w:t>
      </w:r>
      <w:r>
        <w:rPr>
          <w:rFonts w:ascii="仿宋_GB2312" w:eastAsia="仿宋_GB2312"/>
          <w:b w:val="0"/>
          <w:bCs w:val="0"/>
          <w:color w:val="000000" w:themeColor="text1"/>
          <w:kern w:val="21"/>
          <w:sz w:val="32"/>
          <w:szCs w:val="32"/>
          <w14:textFill>
            <w14:solidFill>
              <w14:schemeClr w14:val="tx1"/>
            </w14:solidFill>
          </w14:textFill>
        </w:rPr>
        <w:t>当今世界正经历百年未有之大变局，新冠疫情影响广泛深远，不稳定性不确定性明显增加，</w:t>
      </w:r>
      <w:r>
        <w:rPr>
          <w:rFonts w:hint="eastAsia" w:ascii="仿宋_GB2312" w:eastAsia="仿宋_GB2312"/>
          <w:b w:val="0"/>
          <w:bCs w:val="0"/>
          <w:color w:val="000000" w:themeColor="text1"/>
          <w:kern w:val="21"/>
          <w:sz w:val="32"/>
          <w:szCs w:val="32"/>
          <w14:textFill>
            <w14:solidFill>
              <w14:schemeClr w14:val="tx1"/>
            </w14:solidFill>
          </w14:textFill>
        </w:rPr>
        <w:t>全球</w:t>
      </w:r>
      <w:r>
        <w:rPr>
          <w:rFonts w:ascii="仿宋_GB2312" w:eastAsia="仿宋_GB2312"/>
          <w:b w:val="0"/>
          <w:bCs w:val="0"/>
          <w:color w:val="000000" w:themeColor="text1"/>
          <w:kern w:val="21"/>
          <w:sz w:val="32"/>
          <w:szCs w:val="32"/>
          <w14:textFill>
            <w14:solidFill>
              <w14:schemeClr w14:val="tx1"/>
            </w14:solidFill>
          </w14:textFill>
        </w:rPr>
        <w:t>进入动荡变革期。</w:t>
      </w:r>
      <w:r>
        <w:rPr>
          <w:rFonts w:hint="eastAsia" w:ascii="仿宋_GB2312" w:eastAsia="仿宋_GB2312"/>
          <w:b w:val="0"/>
          <w:bCs w:val="0"/>
          <w:color w:val="000000" w:themeColor="text1"/>
          <w:kern w:val="21"/>
          <w:sz w:val="32"/>
          <w:szCs w:val="32"/>
          <w14:textFill>
            <w14:solidFill>
              <w14:schemeClr w14:val="tx1"/>
            </w14:solidFill>
          </w14:textFill>
        </w:rPr>
        <w:t>我国发展不平衡不充分问题仍然突出，各类矛盾风险纷至沓来，区域发展竞争更加激烈。同时，我市正处于转型升级、爬坡过坎的关键期，科技创新支撑高质量发展的动能不够强劲，传统产业内涵式发展步伐亟需加快，主导产业竞争力有待提高，城乡区域发展依然不够平衡，生态环保、民生保障、社会治理、安全生产、防灾减灾等领域仍存在短板弱项等等。对此，全市上下要胸怀“两个大局”，深刻认识危和机并存、危中有机、危可转机，发扬斗争精神，树立底线思维，增强机遇意识和风险意识，保持战略定力和发展定力，进一步振奋精神，准确识变、科学应变、主动求变，以确定性工作应对不确定性形势，善于在危机中育先机、于变局中开新局，努力做好乐平的工作，努力办好乐平的事情。</w:t>
      </w:r>
    </w:p>
    <w:p>
      <w:pPr>
        <w:spacing w:line="540" w:lineRule="exact"/>
        <w:ind w:firstLine="640" w:firstLineChars="200"/>
        <w:rPr>
          <w:rFonts w:ascii="仿宋_GB2312" w:hAnsi="华文宋体" w:eastAsia="仿宋_GB2312" w:cs="华文宋体"/>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3.乐平二○三五年基本建成社会主义现代化远景目标。</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展望二</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〇三五年，我市将紧跟全国全省全面建设社会主义现代化步伐，建成</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富强民主文明和谐美丽的现代化赣东北明珠，</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实现工业更有引领力、农业更有影响力、商贸更有竞争力、文化更有凝聚力、改革更有冲击力、开放更有吸引力、环境更有亲和力、民生更有保障力、社会更有向心力、党建更有战斗力，全面建成更高质量的“经济明珠、活力明珠、开放明珠、生态明珠、和谐明珠、廉洁明珠</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全市经济总量迈上新台阶，人均地区生产总值基本达到中等发达国家水平，综合实力进入“全省十强”保持“第一方阵”跻身“全国百强”，基本实现新型工业化、信息化、城镇化、农业现代化，建成具有乐平特色的现代经济体系。</w:t>
      </w:r>
      <w:r>
        <w:rPr>
          <w:rFonts w:hint="eastAsia" w:ascii="仿宋_GB2312" w:eastAsia="仿宋_GB2312"/>
          <w:b w:val="0"/>
          <w:bCs w:val="0"/>
          <w:color w:val="000000" w:themeColor="text1"/>
          <w:kern w:val="21"/>
          <w:sz w:val="32"/>
          <w:szCs w:val="32"/>
          <w14:textFill>
            <w14:solidFill>
              <w14:schemeClr w14:val="tx1"/>
            </w14:solidFill>
          </w14:textFill>
        </w:rPr>
        <w:t>各方面制度更加完善，</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市域治理体系和治理能力现代化基本实现，共建共治共享的社会发展新局面基本形成，天蓝地绿山清水秀成为普遍常态,人与自然和谐共生。社会事业实现长足发展，城乡居民人均收入、文化素质和社会文明程度达到新高度，基本公共服务实现均等化，城乡区域发展差距显著缩小，人民生活更加美好，努力为全面建设社会主义现代化国家贡献乐平力量。</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shd w:val="clear" w:color="auto" w:fill="FFFFFF"/>
          <w14:textFill>
            <w14:solidFill>
              <w14:schemeClr w14:val="tx1"/>
            </w14:solidFill>
          </w14:textFill>
        </w:rPr>
      </w:pP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4</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.乐平“十四五”时期经济社会发展总体要求。</w:t>
      </w:r>
      <w:r>
        <w:rPr>
          <w:rFonts w:hint="eastAsia" w:ascii="仿宋_GB2312" w:eastAsia="仿宋_GB2312"/>
          <w:b w:val="0"/>
          <w:bCs w:val="0"/>
          <w:color w:val="000000" w:themeColor="text1"/>
          <w:kern w:val="21"/>
          <w:sz w:val="32"/>
          <w:szCs w:val="32"/>
          <w14:textFill>
            <w14:solidFill>
              <w14:schemeClr w14:val="tx1"/>
            </w14:solidFill>
          </w14:textFill>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坚决贯彻习近平总书记视察江西重要讲话精神，统筹推进“五位一体”总体布局、协调推进“四个全面”战略布局，坚持党的全面领导，坚持以人民为中心，坚持新发展理念，坚持深化改革开放，坚持系统观念，坚持稳中求进工作总基调，以推动高质量发展为主题，以深化供给侧结构性改革为主线，以改革创新为根本动力，以满足人民日益增长的美好生活需要为根本目的，认真贯彻省委“二十四字”工作思路、高质量跨越式发展首要战略，聚焦“六大明珠”发展定位，统筹推进“求提升、作表率、谋振兴”发展战略，</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全面融入国家战略，努力构建科学完备、衔接协同、集成高效的现代产业体系、城乡生态体系、民生保障体系、社会治理体系、基层党建体系，着力实现高质量跨越式发展，基本建成特色鲜明的</w:t>
      </w:r>
      <w:r>
        <w:rPr>
          <w:rFonts w:hint="eastAsia" w:ascii="仿宋_GB2312" w:hAnsi="华文宋体" w:eastAsia="仿宋_GB2312"/>
          <w:b w:val="0"/>
          <w:bCs w:val="0"/>
          <w:color w:val="000000" w:themeColor="text1"/>
          <w:kern w:val="21"/>
          <w:sz w:val="32"/>
          <w:szCs w:val="32"/>
          <w14:textFill>
            <w14:solidFill>
              <w14:schemeClr w14:val="tx1"/>
            </w14:solidFill>
          </w14:textFill>
        </w:rPr>
        <w:t>现代化赣东北明珠。</w:t>
      </w:r>
    </w:p>
    <w:p>
      <w:pPr>
        <w:pStyle w:val="3"/>
        <w:spacing w:after="0" w:line="540" w:lineRule="exact"/>
        <w:ind w:firstLine="640" w:firstLineChars="200"/>
        <w:rPr>
          <w:rFonts w:ascii="仿宋_GB2312" w:hAnsi="华文宋体" w:eastAsia="仿宋_GB2312" w:cs="华文宋体"/>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5.乐平“十四五”时期经济社会发展奋斗目标。</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紧扣</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二〇三五</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远景目标，明确今后五年奋斗目标是：</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综合实力实现跨越，经济明珠成色更足。在质量效益明显提升的基础上，主要经济指标保持全省“第一方阵”。创新引领发展能力明显增强，</w:t>
      </w:r>
      <w:r>
        <w:rPr>
          <w:rFonts w:hint="eastAsia" w:ascii="仿宋_GB2312" w:eastAsia="仿宋_GB2312"/>
          <w:b w:val="0"/>
          <w:bCs w:val="0"/>
          <w:color w:val="FF0000"/>
          <w:kern w:val="21"/>
          <w:sz w:val="32"/>
          <w:szCs w:val="32"/>
        </w:rPr>
        <w:t>支柱</w:t>
      </w:r>
      <w:r>
        <w:rPr>
          <w:rFonts w:hint="eastAsia" w:ascii="仿宋_GB2312" w:eastAsia="仿宋_GB2312"/>
          <w:b w:val="0"/>
          <w:bCs w:val="0"/>
          <w:color w:val="000000" w:themeColor="text1"/>
          <w:kern w:val="21"/>
          <w:sz w:val="32"/>
          <w:szCs w:val="32"/>
          <w14:textFill>
            <w14:solidFill>
              <w14:schemeClr w14:val="tx1"/>
            </w14:solidFill>
          </w14:textFill>
        </w:rPr>
        <w:t>产业体系更加壮大，产业基础高级化、产业链现代化水平明显提高，农业基础更加稳固，投资质量持续提高，消费贡献稳步上升，供需结构更趋协调均衡。</w:t>
      </w:r>
    </w:p>
    <w:p>
      <w:pPr>
        <w:spacing w:line="540" w:lineRule="exact"/>
        <w:ind w:firstLine="640" w:firstLineChars="200"/>
        <w:rPr>
          <w:rFonts w:ascii="仿宋_GB2312" w:hAnsi="华文宋体" w:eastAsia="仿宋_GB2312" w:cs="Times New Roman"/>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改革创新蓄势跃升，活力明珠特色更浓。重点领域改革取得突破性进展，社会主义市场经济体制更加完善，</w:t>
      </w:r>
      <w:bookmarkStart w:id="1" w:name="_Toc1714774677_WPSOffice_Level3"/>
      <w:bookmarkStart w:id="2" w:name="_Toc1996439406"/>
      <w:bookmarkStart w:id="3" w:name="_Toc334029639_WPSOffice_Level3"/>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营商环境</w:t>
      </w:r>
      <w:bookmarkEnd w:id="1"/>
      <w:bookmarkEnd w:id="2"/>
      <w:bookmarkEnd w:id="3"/>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优质一流，</w:t>
      </w:r>
      <w:r>
        <w:rPr>
          <w:rFonts w:hint="eastAsia" w:ascii="仿宋_GB2312" w:eastAsia="仿宋_GB2312"/>
          <w:b w:val="0"/>
          <w:bCs w:val="0"/>
          <w:color w:val="000000" w:themeColor="text1"/>
          <w:kern w:val="21"/>
          <w:sz w:val="32"/>
          <w:szCs w:val="32"/>
          <w14:textFill>
            <w14:solidFill>
              <w14:schemeClr w14:val="tx1"/>
            </w14:solidFill>
          </w14:textFill>
        </w:rPr>
        <w:t>国家陶瓷文化传承创新试验区乐平篇章出色出彩，</w:t>
      </w:r>
      <w:bookmarkStart w:id="4" w:name="_Toc1599859187_WPSOffice_Level3"/>
      <w:bookmarkStart w:id="5" w:name="_Toc1988906989_WPSOffice_Level3"/>
      <w:bookmarkStart w:id="6" w:name="_Toc359000973"/>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供给侧结构性改革、需求侧有效管理成效凸显，</w:t>
      </w:r>
      <w:bookmarkEnd w:id="4"/>
      <w:bookmarkEnd w:id="5"/>
      <w:bookmarkEnd w:id="6"/>
      <w:r>
        <w:rPr>
          <w:rFonts w:hint="eastAsia" w:ascii="仿宋_GB2312" w:hAnsi="华文宋体" w:eastAsia="仿宋_GB2312" w:cs="Times New Roman"/>
          <w:b w:val="0"/>
          <w:bCs w:val="0"/>
          <w:color w:val="000000" w:themeColor="text1"/>
          <w:kern w:val="21"/>
          <w:sz w:val="32"/>
          <w:szCs w:val="32"/>
          <w14:textFill>
            <w14:solidFill>
              <w14:schemeClr w14:val="tx1"/>
            </w14:solidFill>
          </w14:textFill>
        </w:rPr>
        <w:t>实体经济做强做优，</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城乡发展要素实现自由流动。</w:t>
      </w:r>
    </w:p>
    <w:p>
      <w:pPr>
        <w:spacing w:line="540" w:lineRule="exact"/>
        <w:ind w:firstLine="640" w:firstLineChars="200"/>
        <w:rPr>
          <w:rFonts w:ascii="仿宋_GB2312" w:hAnsi="华文宋体" w:eastAsia="仿宋_GB2312" w:cs="华文宋体"/>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区域协作争先进位，开放明珠景色更好。景乐一体化基本成型，建成融入国家大战略和区域大协作的开放格局新高地。乡村振兴战略全面推进</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，农村基础设施不断完善，农业特色产业体系初步形成。城市功能品质不断提升</w:t>
      </w:r>
      <w:r>
        <w:rPr>
          <w:rFonts w:hint="eastAsia" w:ascii="仿宋_GB2312" w:eastAsia="仿宋_GB2312"/>
          <w:b w:val="0"/>
          <w:bCs w:val="0"/>
          <w:color w:val="000000" w:themeColor="text1"/>
          <w:kern w:val="21"/>
          <w:sz w:val="32"/>
          <w:szCs w:val="32"/>
          <w14:textFill>
            <w14:solidFill>
              <w14:schemeClr w14:val="tx1"/>
            </w14:solidFill>
          </w14:textFill>
        </w:rPr>
        <w:t>，</w:t>
      </w:r>
      <w:bookmarkStart w:id="7" w:name="_Hlk50983647"/>
      <w:bookmarkStart w:id="8" w:name="_Toc1907653318_WPSOffice_Level3"/>
      <w:bookmarkStart w:id="9" w:name="_Toc1317461358"/>
      <w:bookmarkStart w:id="10" w:name="_Toc379014377_WPSOffice_Level3"/>
      <w:bookmarkStart w:id="11" w:name="_Toc1085584212"/>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“1+4”新型城镇化空间布局</w:t>
      </w:r>
      <w:bookmarkEnd w:id="7"/>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不断优化</w:t>
      </w:r>
      <w:bookmarkEnd w:id="8"/>
      <w:bookmarkEnd w:id="9"/>
      <w:bookmarkEnd w:id="10"/>
      <w:bookmarkEnd w:id="11"/>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城乡融合更加紧密</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华文宋体"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人居环境持续改善，生态明珠秀色更美。生态文明理念深入人心，生态文明制度体系更加健全，生产生活方式绿色转型成效显著。</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新一轮生态保护重点工程落地落实，</w:t>
      </w:r>
      <w:r>
        <w:rPr>
          <w:rFonts w:hint="eastAsia" w:ascii="仿宋_GB2312" w:hAnsi="华文宋体" w:eastAsia="仿宋_GB2312"/>
          <w:b w:val="0"/>
          <w:bCs w:val="0"/>
          <w:color w:val="000000" w:themeColor="text1"/>
          <w:kern w:val="21"/>
          <w:sz w:val="32"/>
          <w:szCs w:val="32"/>
          <w14:textFill>
            <w14:solidFill>
              <w14:schemeClr w14:val="tx1"/>
            </w14:solidFill>
          </w14:textFill>
        </w:rPr>
        <w:t>工业园区“三废”治理更加科学有效，</w:t>
      </w:r>
      <w:r>
        <w:rPr>
          <w:rFonts w:hint="eastAsia" w:ascii="仿宋_GB2312" w:hAnsi="华文宋体" w:eastAsia="仿宋_GB2312" w:cs="Arial"/>
          <w:b w:val="0"/>
          <w:bCs w:val="0"/>
          <w:color w:val="000000" w:themeColor="text1"/>
          <w:kern w:val="21"/>
          <w:sz w:val="32"/>
          <w:szCs w:val="32"/>
          <w14:textFill>
            <w14:solidFill>
              <w14:schemeClr w14:val="tx1"/>
            </w14:solidFill>
          </w14:textFill>
        </w:rPr>
        <w:t>“无废城市”试点</w:t>
      </w:r>
      <w:r>
        <w:rPr>
          <w:rFonts w:hint="eastAsia" w:ascii="仿宋_GB2312" w:hAnsi="华文宋体" w:eastAsia="仿宋_GB2312"/>
          <w:b w:val="0"/>
          <w:bCs w:val="0"/>
          <w:color w:val="000000" w:themeColor="text1"/>
          <w:kern w:val="21"/>
          <w:sz w:val="32"/>
          <w:szCs w:val="32"/>
          <w14:textFill>
            <w14:solidFill>
              <w14:schemeClr w14:val="tx1"/>
            </w14:solidFill>
          </w14:textFill>
        </w:rPr>
        <w:t>和</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绿色示范成功创建</w:t>
      </w:r>
      <w:r>
        <w:rPr>
          <w:rFonts w:hint="eastAsia" w:ascii="仿宋_GB2312" w:hAnsi="华文宋体" w:eastAsia="仿宋_GB2312"/>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国土空间开发保护格局得到优化，</w:t>
      </w:r>
      <w:r>
        <w:rPr>
          <w:rFonts w:hint="eastAsia" w:ascii="仿宋_GB2312" w:hAnsi="华文宋体" w:eastAsia="仿宋_GB2312"/>
          <w:b w:val="0"/>
          <w:bCs w:val="0"/>
          <w:color w:val="000000" w:themeColor="text1"/>
          <w:kern w:val="21"/>
          <w:sz w:val="32"/>
          <w:szCs w:val="32"/>
          <w14:textFill>
            <w14:solidFill>
              <w14:schemeClr w14:val="tx1"/>
            </w14:solidFill>
          </w14:textFill>
        </w:rPr>
        <w:t>大气环境质量全面改善</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，生态安全屏障更加牢固，文明城市创建取得突破性进展，</w:t>
      </w:r>
      <w:r>
        <w:rPr>
          <w:rFonts w:hint="eastAsia" w:ascii="仿宋_GB2312" w:eastAsia="仿宋_GB2312"/>
          <w:b w:val="0"/>
          <w:bCs w:val="0"/>
          <w:color w:val="000000" w:themeColor="text1"/>
          <w:kern w:val="21"/>
          <w:sz w:val="32"/>
          <w:szCs w:val="32"/>
          <w14:textFill>
            <w14:solidFill>
              <w14:schemeClr w14:val="tx1"/>
            </w14:solidFill>
          </w14:textFill>
        </w:rPr>
        <w:t>人居环境进入全省前列。</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民生事业高效推进，和谐明珠本色更暖。</w:t>
      </w:r>
      <w:bookmarkStart w:id="12" w:name="_Hlk54611350"/>
      <w:bookmarkStart w:id="13" w:name="_Toc1836389688"/>
      <w:bookmarkStart w:id="14" w:name="_Toc1303477941_WPSOffice_Level3"/>
      <w:bookmarkStart w:id="15" w:name="_Toc1460223824_WPSOffice_Level3"/>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脱贫攻坚成果持续巩固，实现更加充分更高质量就业，教育现代化</w:t>
      </w:r>
      <w:bookmarkEnd w:id="12"/>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水平</w:t>
      </w:r>
      <w:bookmarkEnd w:id="13"/>
      <w:bookmarkEnd w:id="14"/>
      <w:bookmarkEnd w:id="15"/>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不断提高，医药卫生体制改革深入推进</w:t>
      </w:r>
      <w:bookmarkStart w:id="16" w:name="_Toc538692052_WPSOffice_Level3"/>
      <w:bookmarkStart w:id="17" w:name="_Toc566511532"/>
      <w:bookmarkStart w:id="18" w:name="_Toc1073071340_WPSOffice_Level3"/>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w:t>
      </w:r>
      <w:bookmarkEnd w:id="16"/>
      <w:bookmarkEnd w:id="17"/>
      <w:bookmarkEnd w:id="18"/>
      <w:r>
        <w:rPr>
          <w:rFonts w:hint="eastAsia" w:ascii="仿宋_GB2312" w:eastAsia="仿宋_GB2312"/>
          <w:b w:val="0"/>
          <w:bCs w:val="0"/>
          <w:color w:val="000000" w:themeColor="text1"/>
          <w:kern w:val="21"/>
          <w:sz w:val="32"/>
          <w:szCs w:val="32"/>
          <w14:textFill>
            <w14:solidFill>
              <w14:schemeClr w14:val="tx1"/>
            </w14:solidFill>
          </w14:textFill>
        </w:rPr>
        <w:t>红色基因得到更好传承，特色历史文化得到发扬推广，基层公共文化服务体系和文化产业体系更加健全，社会主义核心价值观深入人心。</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社会保障体系日益完善，</w:t>
      </w:r>
      <w:r>
        <w:rPr>
          <w:rFonts w:hint="eastAsia" w:ascii="仿宋_GB2312" w:eastAsia="仿宋_GB2312"/>
          <w:b w:val="0"/>
          <w:bCs w:val="0"/>
          <w:color w:val="000000" w:themeColor="text1"/>
          <w:kern w:val="21"/>
          <w:sz w:val="32"/>
          <w:szCs w:val="32"/>
          <w14:textFill>
            <w14:solidFill>
              <w14:schemeClr w14:val="tx1"/>
            </w14:solidFill>
          </w14:textFill>
        </w:rPr>
        <w:t>改革发展成果更加普惠。</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基层治理行稳致远，廉洁明珠底色更纯。党的全面领导得到落实，社会主义民主法治更加健全，社会公平正义进一步彰显。“五型”政府建设取得更大成效，政府治理能力不断提升。共建共治共享的社会治理新</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格局基本建成，</w:t>
      </w:r>
      <w:r>
        <w:rPr>
          <w:rFonts w:hint="eastAsia" w:ascii="仿宋_GB2312" w:eastAsia="仿宋_GB2312"/>
          <w:b w:val="0"/>
          <w:bCs w:val="0"/>
          <w:color w:val="000000" w:themeColor="text1"/>
          <w:kern w:val="21"/>
          <w:sz w:val="32"/>
          <w:szCs w:val="32"/>
          <w14:textFill>
            <w14:solidFill>
              <w14:schemeClr w14:val="tx1"/>
            </w14:solidFill>
          </w14:textFill>
        </w:rPr>
        <w:t>平安建设成效保持全省一流水平</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重大风险有效防范化解，发展安全保障更加有力。</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shd w:val="clear" w:color="auto" w:fill="FFFFFF"/>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二</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聚焦聚力科技创新，在打造创新型乐平新高地上求提升</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牢牢把握创新在现代化建设全局中的核心地位，持续强化科技创新在助推全市高质量跨越式发展中的战略支撑作用，深入实施科技强市战略、人才强市战略、创新驱动发展战略，优化创新生态体系，加快推动我市从要素驱动向创新驱动转变，争创省级以上高水平创新型县市</w:t>
      </w:r>
      <w:r>
        <w:rPr>
          <w:rFonts w:ascii="仿宋_GB2312" w:hAnsi="仿宋_GB2312" w:eastAsia="仿宋_GB2312" w:cs="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6</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提升自主创新能力。</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大力开展研发投入攻坚行动，面向世界科技前沿、面向经济主战场、面向国家重大需求、面向人民生命健康，加快构建以企业为主体的科技创新体系，</w:t>
      </w:r>
      <w:r>
        <w:rPr>
          <w:rFonts w:ascii="仿宋_GB2312" w:hAnsi="仿宋_GB2312" w:eastAsia="仿宋_GB2312" w:cs="仿宋_GB2312"/>
          <w:b w:val="0"/>
          <w:bCs w:val="0"/>
          <w:color w:val="000000" w:themeColor="text1"/>
          <w:kern w:val="21"/>
          <w:sz w:val="32"/>
          <w:szCs w:val="32"/>
          <w14:textFill>
            <w14:solidFill>
              <w14:schemeClr w14:val="tx1"/>
            </w14:solidFill>
          </w14:textFill>
        </w:rPr>
        <w:t>持续引导全社会加大研发投入</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，努力形成更多自主创新成果，着力打造</w:t>
      </w:r>
      <w:bookmarkStart w:id="19" w:name="_Hlk57802487"/>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区域科技创新高地</w:t>
      </w:r>
      <w:bookmarkEnd w:id="19"/>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聚焦重点企业，做大引领支撑。强化企业创新主体地位，鼓励支持企业加大研发投入，引导全社会支持科技创新，</w:t>
      </w:r>
      <w:r>
        <w:rPr>
          <w:rFonts w:ascii="仿宋_GB2312" w:hAnsi="仿宋_GB2312" w:eastAsia="仿宋_GB2312" w:cs="仿宋_GB2312"/>
          <w:b w:val="0"/>
          <w:bCs w:val="0"/>
          <w:color w:val="000000" w:themeColor="text1"/>
          <w:kern w:val="21"/>
          <w:sz w:val="32"/>
          <w:szCs w:val="32"/>
          <w14:textFill>
            <w14:solidFill>
              <w14:schemeClr w14:val="tx1"/>
            </w14:solidFill>
          </w14:textFill>
        </w:rPr>
        <w:t>促进各类创新要素向企业集聚</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，畅通科技成果转化通道，不断积蓄企业核心动能和比较优势</w:t>
      </w:r>
      <w:r>
        <w:rPr>
          <w:rFonts w:ascii="仿宋_GB2312" w:hAnsi="仿宋_GB2312" w:eastAsia="仿宋_GB2312" w:cs="仿宋_GB2312"/>
          <w:b w:val="0"/>
          <w:bCs w:val="0"/>
          <w:color w:val="000000" w:themeColor="text1"/>
          <w:kern w:val="2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大力实施高新技术企业倍增计划，</w:t>
      </w:r>
      <w:r>
        <w:rPr>
          <w:rFonts w:ascii="仿宋_GB2312" w:hAnsi="仿宋_GB2312" w:eastAsia="仿宋_GB2312" w:cs="仿宋_GB2312"/>
          <w:b w:val="0"/>
          <w:bCs w:val="0"/>
          <w:color w:val="000000" w:themeColor="text1"/>
          <w:kern w:val="21"/>
          <w:sz w:val="32"/>
          <w:szCs w:val="32"/>
          <w14:textFill>
            <w14:solidFill>
              <w14:schemeClr w14:val="tx1"/>
            </w14:solidFill>
          </w14:textFill>
        </w:rPr>
        <w:t>加大对新工艺、新技术、新模式的</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科技型领军</w:t>
      </w:r>
      <w:r>
        <w:rPr>
          <w:rFonts w:ascii="仿宋_GB2312" w:hAnsi="仿宋_GB2312" w:eastAsia="仿宋_GB2312" w:cs="仿宋_GB2312"/>
          <w:b w:val="0"/>
          <w:bCs w:val="0"/>
          <w:color w:val="000000" w:themeColor="text1"/>
          <w:kern w:val="21"/>
          <w:sz w:val="32"/>
          <w:szCs w:val="32"/>
          <w14:textFill>
            <w14:solidFill>
              <w14:schemeClr w14:val="tx1"/>
            </w14:solidFill>
          </w14:textFill>
        </w:rPr>
        <w:t>企业培育力度</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，发展一批科技实力突出、创新能力强劲、发展潜力巨大的高新技术企业和高成长型瞪羚企业。进一步落实企业研发活动优惠政策，建立乐平工业园区融资平台，促进科技与金融深度融合，有效缓解科技型中</w:t>
      </w:r>
      <w:r>
        <w:rPr>
          <w:rFonts w:hint="eastAsia" w:ascii="仿宋_GB2312" w:hAnsi="仿宋_GB2312" w:eastAsia="仿宋_GB2312" w:cs="仿宋_GB2312"/>
          <w:b w:val="0"/>
          <w:bCs w:val="0"/>
          <w:color w:val="000000" w:themeColor="text1"/>
          <w:spacing w:val="-6"/>
          <w:kern w:val="21"/>
          <w:sz w:val="32"/>
          <w:szCs w:val="32"/>
          <w14:textFill>
            <w14:solidFill>
              <w14:schemeClr w14:val="tx1"/>
            </w14:solidFill>
          </w14:textFill>
        </w:rPr>
        <w:t>小企业融资难题，</w:t>
      </w:r>
      <w:r>
        <w:rPr>
          <w:rFonts w:ascii="仿宋_GB2312" w:hAnsi="仿宋_GB2312" w:eastAsia="仿宋_GB2312" w:cs="仿宋_GB2312"/>
          <w:b w:val="0"/>
          <w:bCs w:val="0"/>
          <w:color w:val="000000" w:themeColor="text1"/>
          <w:spacing w:val="-6"/>
          <w:kern w:val="21"/>
          <w:sz w:val="32"/>
          <w:szCs w:val="32"/>
          <w14:textFill>
            <w14:solidFill>
              <w14:schemeClr w14:val="tx1"/>
            </w14:solidFill>
          </w14:textFill>
        </w:rPr>
        <w:t>支持创新型中小微企业成</w:t>
      </w:r>
      <w:r>
        <w:rPr>
          <w:rFonts w:hint="eastAsia" w:ascii="仿宋_GB2312" w:hAnsi="仿宋_GB2312" w:eastAsia="仿宋_GB2312" w:cs="仿宋_GB2312"/>
          <w:b w:val="0"/>
          <w:bCs w:val="0"/>
          <w:color w:val="000000" w:themeColor="text1"/>
          <w:spacing w:val="-6"/>
          <w:kern w:val="21"/>
          <w:sz w:val="32"/>
          <w:szCs w:val="32"/>
          <w14:textFill>
            <w14:solidFill>
              <w14:schemeClr w14:val="tx1"/>
            </w14:solidFill>
          </w14:textFill>
        </w:rPr>
        <w:t>长</w:t>
      </w:r>
      <w:r>
        <w:rPr>
          <w:rFonts w:ascii="仿宋_GB2312" w:hAnsi="仿宋_GB2312" w:eastAsia="仿宋_GB2312" w:cs="仿宋_GB2312"/>
          <w:b w:val="0"/>
          <w:bCs w:val="0"/>
          <w:color w:val="000000" w:themeColor="text1"/>
          <w:spacing w:val="-6"/>
          <w:kern w:val="21"/>
          <w:sz w:val="32"/>
          <w:szCs w:val="32"/>
          <w14:textFill>
            <w14:solidFill>
              <w14:schemeClr w14:val="tx1"/>
            </w14:solidFill>
          </w14:textFill>
        </w:rPr>
        <w:t>为创新重要发源地</w:t>
      </w:r>
      <w:r>
        <w:rPr>
          <w:rFonts w:hint="eastAsia" w:ascii="仿宋_GB2312" w:hAnsi="仿宋_GB2312" w:eastAsia="仿宋_GB2312" w:cs="仿宋_GB2312"/>
          <w:b w:val="0"/>
          <w:bCs w:val="0"/>
          <w:color w:val="000000" w:themeColor="text1"/>
          <w:spacing w:val="-6"/>
          <w:kern w:val="21"/>
          <w:sz w:val="32"/>
          <w:szCs w:val="32"/>
          <w14:textFill>
            <w14:solidFill>
              <w14:schemeClr w14:val="tx1"/>
            </w14:solidFill>
          </w14:textFill>
        </w:rPr>
        <w:t>。</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聚焦重点产业，打造创新标杆。主动对接国家、省、景德镇市重大科技项目，大力开展关键技术攻坚行动，着力提升重点领域基础研究能力，力争在精细化工、生物医药等领域取得更大突破，推进产业转型升级发展，打造千亿级精细化工和医药产业集群。在生命健康、公共卫生等领域布局创新平台，强化科技应对突发公共卫生安全事件的技术储备和支撑能力。立足推动精细化工和医药等产业向高端化、绿色化、智能化发展，我市</w:t>
      </w:r>
      <w:r>
        <w:rPr>
          <w:rFonts w:hint="eastAsia" w:ascii="仿宋_GB2312" w:hAnsi="仿宋_GB2312" w:eastAsia="仿宋_GB2312" w:cs="仿宋_GB2312"/>
          <w:b w:val="0"/>
          <w:bCs w:val="0"/>
          <w:color w:val="FF0000"/>
          <w:kern w:val="21"/>
          <w:sz w:val="32"/>
          <w:szCs w:val="32"/>
        </w:rPr>
        <w:t>支柱</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特色产业延链、补链、强链需求，着重支持一批创新性强、产业应用前景广的科技成果，积极</w:t>
      </w:r>
      <w:r>
        <w:rPr>
          <w:rFonts w:ascii="仿宋_GB2312" w:hAnsi="仿宋_GB2312" w:eastAsia="仿宋_GB2312" w:cs="仿宋_GB2312"/>
          <w:b w:val="0"/>
          <w:bCs w:val="0"/>
          <w:color w:val="000000" w:themeColor="text1"/>
          <w:kern w:val="21"/>
          <w:sz w:val="32"/>
          <w:szCs w:val="32"/>
          <w14:textFill>
            <w14:solidFill>
              <w14:schemeClr w14:val="tx1"/>
            </w14:solidFill>
          </w14:textFill>
        </w:rPr>
        <w:t>推进产学研用深度融合，</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推动产业</w:t>
      </w:r>
      <w:r>
        <w:rPr>
          <w:rFonts w:ascii="仿宋_GB2312" w:hAnsi="仿宋_GB2312" w:eastAsia="仿宋_GB2312" w:cs="仿宋_GB2312"/>
          <w:b w:val="0"/>
          <w:bCs w:val="0"/>
          <w:color w:val="000000" w:themeColor="text1"/>
          <w:kern w:val="21"/>
          <w:sz w:val="32"/>
          <w:szCs w:val="32"/>
          <w14:textFill>
            <w14:solidFill>
              <w14:schemeClr w14:val="tx1"/>
            </w14:solidFill>
          </w14:textFill>
        </w:rPr>
        <w:t>向新兴转、向高端转、向绿色转</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7</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营造良好创新生态。</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积极应对国内外环境的深刻变化及带来的一系列新挑战新机遇，统筹推进“产业链、创新链、资金链、政策链”四链深度融合，形成</w:t>
      </w:r>
      <w:r>
        <w:rPr>
          <w:rFonts w:ascii="仿宋_GB2312" w:hAnsi="仿宋_GB2312" w:eastAsia="仿宋_GB2312" w:cs="仿宋_GB2312"/>
          <w:b w:val="0"/>
          <w:bCs w:val="0"/>
          <w:color w:val="000000" w:themeColor="text1"/>
          <w:kern w:val="21"/>
          <w:sz w:val="32"/>
          <w:szCs w:val="32"/>
          <w14:textFill>
            <w14:solidFill>
              <w14:schemeClr w14:val="tx1"/>
            </w14:solidFill>
          </w14:textFill>
        </w:rPr>
        <w:t>科技、产业、</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财政</w:t>
      </w:r>
      <w:r>
        <w:rPr>
          <w:rFonts w:ascii="仿宋_GB2312" w:hAnsi="仿宋_GB2312" w:eastAsia="仿宋_GB2312" w:cs="仿宋_GB2312"/>
          <w:b w:val="0"/>
          <w:bCs w:val="0"/>
          <w:color w:val="000000" w:themeColor="text1"/>
          <w:kern w:val="21"/>
          <w:sz w:val="32"/>
          <w:szCs w:val="32"/>
          <w14:textFill>
            <w14:solidFill>
              <w14:schemeClr w14:val="tx1"/>
            </w14:solidFill>
          </w14:textFill>
        </w:rPr>
        <w:t>、金融</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有机</w:t>
      </w:r>
      <w:r>
        <w:rPr>
          <w:rFonts w:ascii="仿宋_GB2312" w:hAnsi="仿宋_GB2312" w:eastAsia="仿宋_GB2312" w:cs="仿宋_GB2312"/>
          <w:b w:val="0"/>
          <w:bCs w:val="0"/>
          <w:color w:val="000000" w:themeColor="text1"/>
          <w:kern w:val="21"/>
          <w:sz w:val="32"/>
          <w:szCs w:val="32"/>
          <w14:textFill>
            <w14:solidFill>
              <w14:schemeClr w14:val="tx1"/>
            </w14:solidFill>
          </w14:textFill>
        </w:rPr>
        <w:t>融合的</w:t>
      </w:r>
      <w:r>
        <w:rPr>
          <w:rFonts w:ascii="仿宋_GB2312" w:hAnsi="仿宋_GB2312" w:eastAsia="仿宋_GB2312" w:cs="仿宋_GB2312"/>
          <w:b w:val="0"/>
          <w:bCs w:val="0"/>
          <w:color w:val="000000" w:themeColor="text1"/>
          <w:spacing w:val="-6"/>
          <w:kern w:val="21"/>
          <w:sz w:val="32"/>
          <w:szCs w:val="32"/>
          <w14:textFill>
            <w14:solidFill>
              <w14:schemeClr w14:val="tx1"/>
            </w14:solidFill>
          </w14:textFill>
        </w:rPr>
        <w:t>创新体系</w:t>
      </w:r>
      <w:r>
        <w:rPr>
          <w:rFonts w:hint="eastAsia" w:ascii="仿宋_GB2312" w:hAnsi="仿宋_GB2312" w:eastAsia="仿宋_GB2312" w:cs="仿宋_GB2312"/>
          <w:b w:val="0"/>
          <w:bCs w:val="0"/>
          <w:color w:val="000000" w:themeColor="text1"/>
          <w:spacing w:val="-6"/>
          <w:kern w:val="21"/>
          <w:sz w:val="32"/>
          <w:szCs w:val="32"/>
          <w14:textFill>
            <w14:solidFill>
              <w14:schemeClr w14:val="tx1"/>
            </w14:solidFill>
          </w14:textFill>
        </w:rPr>
        <w:t>，进一步提升科技创新供给能力，提高创新链整体效能。</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深化科技体制机制改革。加强知识产权保护，营造创新创业良好环境，提高科技创新服务水平，全面优化劳动、资本、技术等要素配置，促进市场成为优化配置创新资源的主要手段。加强企业家队伍建设，激发创新精神，</w:t>
      </w:r>
      <w:r>
        <w:rPr>
          <w:rFonts w:ascii="仿宋_GB2312" w:hAnsi="仿宋_GB2312" w:eastAsia="仿宋_GB2312" w:cs="仿宋_GB2312"/>
          <w:b w:val="0"/>
          <w:bCs w:val="0"/>
          <w:color w:val="000000" w:themeColor="text1"/>
          <w:kern w:val="21"/>
          <w:sz w:val="32"/>
          <w:szCs w:val="32"/>
          <w14:textFill>
            <w14:solidFill>
              <w14:schemeClr w14:val="tx1"/>
            </w14:solidFill>
          </w14:textFill>
        </w:rPr>
        <w:t>完善配套政策及利益共享机制</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，激励全社会创新动力和创业激情，推进科技创新、品牌创新、管理模式创新。</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建设高水平创新平台。全面开展与大院大所合作，强化多主体协同、多要素联动、多领域互动的系统性创新。加快引进新材料、新能源、生物医药、人工智能等领域的优质企业。完善财政科技投入机制，</w:t>
      </w:r>
      <w:r>
        <w:rPr>
          <w:rFonts w:ascii="仿宋_GB2312" w:hAnsi="仿宋_GB2312" w:eastAsia="仿宋_GB2312" w:cs="仿宋_GB2312"/>
          <w:b w:val="0"/>
          <w:bCs w:val="0"/>
          <w:color w:val="000000" w:themeColor="text1"/>
          <w:kern w:val="21"/>
          <w:sz w:val="32"/>
          <w:szCs w:val="32"/>
          <w14:textFill>
            <w14:solidFill>
              <w14:schemeClr w14:val="tx1"/>
            </w14:solidFill>
          </w14:textFill>
        </w:rPr>
        <w:t>提高全社会研发支出占生产总值比重</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w:t>
      </w:r>
      <w:r>
        <w:rPr>
          <w:rFonts w:ascii="仿宋_GB2312" w:hAnsi="仿宋_GB2312" w:eastAsia="仿宋_GB2312" w:cs="仿宋_GB2312"/>
          <w:b w:val="0"/>
          <w:bCs w:val="0"/>
          <w:color w:val="000000" w:themeColor="text1"/>
          <w:kern w:val="21"/>
          <w:sz w:val="32"/>
          <w:szCs w:val="32"/>
          <w14:textFill>
            <w14:solidFill>
              <w14:schemeClr w14:val="tx1"/>
            </w14:solidFill>
          </w14:textFill>
        </w:rPr>
        <w:t>以科技创新催生新发展动能，实现依靠创新驱动的内涵型增长</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，打造赣东北地区重要的区域科技创新高地。</w:t>
      </w:r>
    </w:p>
    <w:p>
      <w:pPr>
        <w:pStyle w:val="3"/>
        <w:spacing w:after="0" w:line="540" w:lineRule="exact"/>
        <w:ind w:firstLine="640" w:firstLineChars="200"/>
        <w:rPr>
          <w:rFonts w:eastAsia="黑体"/>
          <w:b w:val="0"/>
          <w:bCs w:val="0"/>
          <w:color w:val="000000" w:themeColor="text1"/>
          <w:kern w:val="21"/>
          <w:sz w:val="32"/>
          <w:szCs w:val="32"/>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三</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聚焦聚力扩大内需，在加快融入国内国际循环上求提升</w:t>
      </w:r>
    </w:p>
    <w:p>
      <w:pPr>
        <w:pStyle w:val="7"/>
        <w:spacing w:line="540" w:lineRule="exact"/>
        <w:ind w:firstLine="640" w:firstLineChars="200"/>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ascii="仿宋_GB2312" w:hAnsi="Tahoma" w:eastAsia="仿宋_GB2312" w:cstheme="minorBidi"/>
          <w:b w:val="0"/>
          <w:bCs w:val="0"/>
          <w:color w:val="000000" w:themeColor="text1"/>
          <w:kern w:val="21"/>
          <w:sz w:val="32"/>
          <w:szCs w:val="32"/>
          <w14:textFill>
            <w14:solidFill>
              <w14:schemeClr w14:val="tx1"/>
            </w14:solidFill>
          </w14:textFill>
        </w:rPr>
        <w:t>积极融入以国内大循环为主体、国内国际双循环相互促进的新发展格局，</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探索更高水平的供需动态平衡新路径，厚积乐平产业竞争优势，实现错位、占位、抢位发展。</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8.筑牢投资“压舱石”。</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充分发挥有效投资的关键作用，启动实施</w:t>
      </w:r>
      <w:r>
        <w:rPr>
          <w:rFonts w:hint="eastAsia" w:ascii="仿宋_GB2312" w:hAnsi="仿宋_GB2312" w:eastAsia="仿宋_GB2312" w:cs="仿宋_GB2312"/>
          <w:b w:val="0"/>
          <w:bCs w:val="0"/>
          <w:color w:val="FF0000"/>
          <w:kern w:val="21"/>
          <w:sz w:val="32"/>
          <w:szCs w:val="32"/>
        </w:rPr>
        <w:t>工业、农业、服务业、重大基础设施、新基建、公共服务等六大领域“项目大会战”</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强化项目储备。围绕城乡基础设施和配套公共服务、信息化、产城融合、文化旅游、特色农业、生态环保、医疗教育、健康养生、养老服务等，谋划和储备一批重大基础设施、产业升级、民生改善项目。</w:t>
      </w:r>
    </w:p>
    <w:p>
      <w:pPr>
        <w:spacing w:line="540" w:lineRule="exact"/>
        <w:ind w:firstLine="640" w:firstLineChars="200"/>
        <w:rPr>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强化项目推进。坚持“项目为王”，资金向项目倾斜、人员向项目集中，落实好领导干部包抓项目、工作专班推进项目责任制，提高招商引资项目落地率和资金到位率。重点推动第五代移动通信网络全覆盖，支持乐平工业园区打造5G数字产业园。加快推进以智能交通管控、路政、消防、城市管理等区域级公共服务建设为主的智慧城市建设，提升政务专网覆盖和承载能力。在公共服务设施、市政公用设施、产业配套设施等新型城镇化建设方面实施一批重大项目，合理布局学校、医院等公共服务设施建设，推动水利设施补短板强弱项，完善城市路网，实现全市城乡区域协调发展。</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9.提升消费“主动力”。</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积极顺应消费结构升级趋势，加快培育新的消费增长点，充分发挥消费的基础性作用，大力培育新型消费，提升传统消费，适当增加公共消费。</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大力推进质量强市。积极开展标准化体系建设，重点在电子信息、中医药、新材料、绿色农产品等领域开展质量提升行动，不断提升“乐平产品”“乐平服务”美誉度</w:t>
      </w:r>
      <w:r>
        <w:rPr>
          <w:rFonts w:ascii="仿宋_GB2312" w:hAnsi="仿宋_GB2312" w:eastAsia="仿宋_GB2312" w:cs="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大力推进商贸兴市。实施商贸、文化消费升级行动，扩大旅游、文化、体育、健康、托育、养老、家政、物业等优质服务供给，实施乐平“一袋米、一壶油、一桌菜”地域品牌推介活动。积极引进</w:t>
      </w:r>
      <w:r>
        <w:rPr>
          <w:rFonts w:ascii="仿宋_GB2312" w:hAnsi="仿宋_GB2312" w:eastAsia="仿宋_GB2312" w:cs="仿宋_GB2312"/>
          <w:b w:val="0"/>
          <w:bCs w:val="0"/>
          <w:color w:val="000000" w:themeColor="text1"/>
          <w:kern w:val="21"/>
          <w:sz w:val="32"/>
          <w:szCs w:val="32"/>
          <w14:textFill>
            <w14:solidFill>
              <w14:schemeClr w14:val="tx1"/>
            </w14:solidFill>
          </w14:textFill>
        </w:rPr>
        <w:t>集零售、餐饮、娱乐、休闲、商务等多功能于一体的城市综合体</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，建设高标准现代商圈、高品质步行街、特色夜市城，着力发展“夜经济”“她经济”“童经济”“宅经济”。</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大力完善商贸布局。大力发展无接触交易服务、第三方外包服务，打造一批智慧商圈和直播基地，构建高效配送网络体系，抢占以网络购物、网上服务为代表的新兴消费市场，提升乡村、社区商业消费。加快发展健康养生、健身休闲、家政服务等产业，更好满足人民群众个性化、多样化、高端化消费需求。建立健全消费追溯体系，强化消费者权益保护。</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10.畅通流通“循环链”。</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坚持</w:t>
      </w:r>
      <w:r>
        <w:rPr>
          <w:rFonts w:ascii="仿宋_GB2312" w:hAnsi="仿宋_GB2312" w:eastAsia="仿宋_GB2312" w:cs="仿宋_GB2312"/>
          <w:b w:val="0"/>
          <w:bCs w:val="0"/>
          <w:color w:val="000000" w:themeColor="text1"/>
          <w:kern w:val="21"/>
          <w:sz w:val="32"/>
          <w:szCs w:val="32"/>
          <w14:textFill>
            <w14:solidFill>
              <w14:schemeClr w14:val="tx1"/>
            </w14:solidFill>
          </w14:textFill>
        </w:rPr>
        <w:t>把深化供给侧结构性改革</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、注重需求侧管理</w:t>
      </w:r>
      <w:r>
        <w:rPr>
          <w:rFonts w:ascii="仿宋_GB2312" w:hAnsi="仿宋_GB2312" w:eastAsia="仿宋_GB2312" w:cs="仿宋_GB2312"/>
          <w:b w:val="0"/>
          <w:bCs w:val="0"/>
          <w:color w:val="000000" w:themeColor="text1"/>
          <w:kern w:val="21"/>
          <w:sz w:val="32"/>
          <w:szCs w:val="32"/>
          <w14:textFill>
            <w14:solidFill>
              <w14:schemeClr w14:val="tx1"/>
            </w14:solidFill>
          </w14:textFill>
        </w:rPr>
        <w:t>和扩大内需战略有效结合起来</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，着力</w:t>
      </w:r>
      <w:r>
        <w:rPr>
          <w:rFonts w:ascii="仿宋_GB2312" w:hAnsi="仿宋_GB2312" w:eastAsia="仿宋_GB2312" w:cs="仿宋_GB2312"/>
          <w:b w:val="0"/>
          <w:bCs w:val="0"/>
          <w:color w:val="000000" w:themeColor="text1"/>
          <w:kern w:val="21"/>
          <w:sz w:val="32"/>
          <w:szCs w:val="32"/>
          <w14:textFill>
            <w14:solidFill>
              <w14:schemeClr w14:val="tx1"/>
            </w14:solidFill>
          </w14:textFill>
        </w:rPr>
        <w:t>破除生产要素和商品服务流通障碍，贯通生产、分配、流通、消费各环节，推动经济良性循环。</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畅通物流“微循环”。大力发展冷链物流、智慧物流、共享物流、应急物流，实施城乡高效配送专项行动，实现乡村物流集中配送网络全覆盖。</w:t>
      </w:r>
      <w:r>
        <w:rPr>
          <w:rFonts w:hint="eastAsia" w:ascii="仿宋_GB2312" w:hAnsi="仿宋_GB2312" w:eastAsia="仿宋_GB2312" w:cs="仿宋_GB2312"/>
          <w:b w:val="0"/>
          <w:bCs w:val="0"/>
          <w:color w:val="FF0000"/>
          <w:kern w:val="21"/>
          <w:sz w:val="32"/>
          <w:szCs w:val="32"/>
        </w:rPr>
        <w:t>努力</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打造赣东北地区最大的电子商务中心，让乐平特色产品在网上“与世界对话”，让世界优质商品在网上集聚乐平，形成“互联网+”的商贸新优势。</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疏通外贸“淤堵点”。推进内外贸相关法规、监管体制、经营资质、质量标准、检验检疫、认证认可等相衔接，实施内外销产品“同线同质同标”工程，扩大优质消费品、先进技术、关键装备等进口，扩大电子信息、新能源、新材料等自营出口和高附加值产品出口。整合外贸供应链资源，为外贸企业提供更加高效的通关、仓储、物流、认证等服务。</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shd w:val="clear" w:color="auto" w:fill="FFFFFF"/>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四</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聚焦聚力国家战略，在推动更高水平对外开放上求提升</w:t>
      </w:r>
    </w:p>
    <w:p>
      <w:pPr>
        <w:pStyle w:val="3"/>
        <w:spacing w:after="0"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ascii="仿宋_GB2312" w:hAnsi="Tahoma" w:eastAsia="仿宋_GB2312"/>
          <w:b w:val="0"/>
          <w:bCs w:val="0"/>
          <w:color w:val="000000" w:themeColor="text1"/>
          <w:kern w:val="21"/>
          <w:sz w:val="32"/>
          <w:szCs w:val="32"/>
          <w14:textFill>
            <w14:solidFill>
              <w14:schemeClr w14:val="tx1"/>
            </w14:solidFill>
          </w14:textFill>
        </w:rPr>
        <w:t>坚定不移实施开放</w:t>
      </w:r>
      <w:r>
        <w:rPr>
          <w:rFonts w:hint="eastAsia" w:ascii="仿宋_GB2312" w:hAnsi="Tahoma" w:eastAsia="仿宋_GB2312"/>
          <w:b w:val="0"/>
          <w:bCs w:val="0"/>
          <w:color w:val="000000" w:themeColor="text1"/>
          <w:kern w:val="21"/>
          <w:sz w:val="32"/>
          <w:szCs w:val="32"/>
          <w14:textFill>
            <w14:solidFill>
              <w14:schemeClr w14:val="tx1"/>
            </w14:solidFill>
          </w14:textFill>
        </w:rPr>
        <w:t>活市</w:t>
      </w:r>
      <w:r>
        <w:rPr>
          <w:rFonts w:ascii="仿宋_GB2312" w:hAnsi="Tahoma" w:eastAsia="仿宋_GB2312"/>
          <w:b w:val="0"/>
          <w:bCs w:val="0"/>
          <w:color w:val="000000" w:themeColor="text1"/>
          <w:kern w:val="21"/>
          <w:sz w:val="32"/>
          <w:szCs w:val="32"/>
          <w14:textFill>
            <w14:solidFill>
              <w14:schemeClr w14:val="tx1"/>
            </w14:solidFill>
          </w14:textFill>
        </w:rPr>
        <w:t>战略，坚持高质量引进来和高水平走出去相结合，</w:t>
      </w:r>
      <w:r>
        <w:rPr>
          <w:rFonts w:hint="eastAsia" w:ascii="仿宋_GB2312" w:hAnsi="Tahoma" w:eastAsia="仿宋_GB2312"/>
          <w:b w:val="0"/>
          <w:bCs w:val="0"/>
          <w:color w:val="000000" w:themeColor="text1"/>
          <w:kern w:val="21"/>
          <w:sz w:val="32"/>
          <w:szCs w:val="32"/>
          <w14:textFill>
            <w14:solidFill>
              <w14:schemeClr w14:val="tx1"/>
            </w14:solidFill>
          </w14:textFill>
        </w:rPr>
        <w:t>积极主动融入江西内陆开放型经济试验区和景德镇国家陶瓷文化传承创新试验区建设，打造对话世界的乐平窗口，走出一条以开放促创新、促改革、促发展的新路子。</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11</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主动融入国家战略</w:t>
      </w:r>
      <w:bookmarkStart w:id="20" w:name="_Hlk57788560"/>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仿宋_GB2312" w:hAnsi="Tahoma" w:eastAsia="仿宋_GB2312"/>
          <w:b w:val="0"/>
          <w:bCs w:val="0"/>
          <w:color w:val="000000" w:themeColor="text1"/>
          <w:kern w:val="21"/>
          <w:sz w:val="32"/>
          <w:szCs w:val="32"/>
          <w14:textFill>
            <w14:solidFill>
              <w14:schemeClr w14:val="tx1"/>
            </w14:solidFill>
          </w14:textFill>
        </w:rPr>
        <w:t>抢抓机遇，精准对接，深度融入江西内陆开放型经济试验区和景德镇国家陶瓷文化传承创新试验区建设，北上策应长江经济带，西向接入大南昌都市圈，中心融入鄱阳湖经济生态区，东往对接长三角一体化，南下承接粤港澳大湾区，努力开拓国内和国际两个市场，构建面向发达经济体和新兴市场的开放体系。</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加快制度型开放步伐。加速发展跨境电商，在产业政策、知识产权保护、数字贸易等领域加强对外政策的沟通和协调，务实推进对外友好往来，打造对外交流乐平高地。</w:t>
      </w:r>
    </w:p>
    <w:bookmarkEnd w:id="20"/>
    <w:p>
      <w:pPr>
        <w:spacing w:line="540" w:lineRule="exact"/>
        <w:ind w:firstLine="640" w:firstLineChars="200"/>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12</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大力开展招商引资。</w:t>
      </w:r>
      <w:r>
        <w:rPr>
          <w:rFonts w:hint="eastAsia" w:ascii="仿宋_GB2312" w:hAnsi="Tahoma" w:eastAsia="仿宋_GB2312"/>
          <w:b w:val="0"/>
          <w:bCs w:val="0"/>
          <w:color w:val="000000" w:themeColor="text1"/>
          <w:kern w:val="21"/>
          <w:sz w:val="32"/>
          <w:szCs w:val="32"/>
          <w14:textFill>
            <w14:solidFill>
              <w14:schemeClr w14:val="tx1"/>
            </w14:solidFill>
          </w14:textFill>
        </w:rPr>
        <w:t>完善服务支撑体系，主动对接国际国内500强企业、</w:t>
      </w:r>
      <w:r>
        <w:rPr>
          <w:rFonts w:hint="eastAsia" w:ascii="仿宋_GB2312" w:hAnsi="Tahoma" w:eastAsia="仿宋_GB2312"/>
          <w:b w:val="0"/>
          <w:bCs w:val="0"/>
          <w:color w:val="FF0000"/>
          <w:kern w:val="21"/>
          <w:sz w:val="32"/>
          <w:szCs w:val="32"/>
        </w:rPr>
        <w:t>央企、</w:t>
      </w:r>
      <w:r>
        <w:rPr>
          <w:rFonts w:hint="eastAsia" w:ascii="仿宋_GB2312" w:hAnsi="Tahoma" w:eastAsia="仿宋_GB2312"/>
          <w:b w:val="0"/>
          <w:bCs w:val="0"/>
          <w:color w:val="000000" w:themeColor="text1"/>
          <w:kern w:val="21"/>
          <w:sz w:val="32"/>
          <w:szCs w:val="32"/>
          <w14:textFill>
            <w14:solidFill>
              <w14:schemeClr w14:val="tx1"/>
            </w14:solidFill>
          </w14:textFill>
        </w:rPr>
        <w:t>上市公司等战略投资者，提升招商引资水平，打造赣东北区域产业高质量梯度转移洼地。</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提升专业招商水平。紧紧抓住产业链供应链重构机遇，充分发挥利用好乐平市国家级精细化工高新技术产业基地“金字”招牌，依托大中型企业开展精准招商、专业招商、产业链招商。</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提升招商引资层次。坚持引资、引智和引技并重，注重引进国内外先进技术、管理经验和高素质人才，大力引进研发机构、关键技术和关键设备，鼓励外资参与科技研究合作项目，促进利用外资与自主创新相融合。</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提升对</w:t>
      </w:r>
      <w:r>
        <w:rPr>
          <w:rFonts w:hint="eastAsia" w:ascii="仿宋_GB2312" w:hAnsi="Tahoma" w:eastAsia="仿宋_GB2312"/>
          <w:b w:val="0"/>
          <w:bCs w:val="0"/>
          <w:color w:val="000000" w:themeColor="text1"/>
          <w:kern w:val="21"/>
          <w:sz w:val="32"/>
          <w:szCs w:val="32"/>
          <w:lang w:eastAsia="zh-CN"/>
          <w14:textFill>
            <w14:solidFill>
              <w14:schemeClr w14:val="tx1"/>
            </w14:solidFill>
          </w14:textFill>
        </w:rPr>
        <w:t>外</w:t>
      </w:r>
      <w:r>
        <w:rPr>
          <w:rFonts w:hint="eastAsia" w:ascii="仿宋_GB2312" w:hAnsi="Tahoma" w:eastAsia="仿宋_GB2312"/>
          <w:b w:val="0"/>
          <w:bCs w:val="0"/>
          <w:color w:val="000000" w:themeColor="text1"/>
          <w:kern w:val="21"/>
          <w:sz w:val="32"/>
          <w:szCs w:val="32"/>
          <w14:textFill>
            <w14:solidFill>
              <w14:schemeClr w14:val="tx1"/>
            </w14:solidFill>
          </w14:textFill>
        </w:rPr>
        <w:t>开放维度。深入实施“三请三回”和“三企入乐”行动，积极探索网络招商、资本注入式招商、牌照资源补缺式招商新路径，积极引导企业“走出去”开展资源、能源等合作，留住产业链关键环节。</w:t>
      </w:r>
      <w:bookmarkStart w:id="29" w:name="_GoBack"/>
      <w:bookmarkEnd w:id="29"/>
    </w:p>
    <w:p>
      <w:pPr>
        <w:pStyle w:val="3"/>
        <w:spacing w:after="0" w:line="540" w:lineRule="exact"/>
        <w:ind w:firstLine="640" w:firstLineChars="200"/>
        <w:rPr>
          <w:rFonts w:eastAsia="黑体"/>
          <w:b w:val="0"/>
          <w:bCs w:val="0"/>
          <w:color w:val="000000" w:themeColor="text1"/>
          <w:kern w:val="21"/>
          <w:sz w:val="32"/>
          <w:szCs w:val="32"/>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五</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聚焦聚力融合发展，在对接国家陶瓷文化传承创新试验区上求提升</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积极策应国家陶瓷文化传承创新试验区建设，主动融入景德镇“两地一中心”发展格局，充分发挥产业承接、文化延伸、服务供给、业态支撑作用，在助推景德镇建设对外文化交流新平台中展现乐平担当、探索乐平实践、贡献乐平力量。</w:t>
      </w:r>
    </w:p>
    <w:p>
      <w:pPr>
        <w:spacing w:line="540" w:lineRule="exact"/>
        <w:ind w:firstLine="640" w:firstLineChars="200"/>
        <w:rPr>
          <w:rFonts w:ascii="楷体_GB2312" w:eastAsia="楷体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13</w:t>
      </w:r>
      <w:r>
        <w:rPr>
          <w:rFonts w:ascii="楷体_GB2312" w:eastAsia="楷体_GB2312"/>
          <w:b w:val="0"/>
          <w:bCs w:val="0"/>
          <w:color w:val="000000" w:themeColor="text1"/>
          <w:kern w:val="21"/>
          <w:sz w:val="32"/>
          <w:szCs w:val="32"/>
          <w14:textFill>
            <w14:solidFill>
              <w14:schemeClr w14:val="tx1"/>
            </w14:solidFill>
          </w14:textFill>
        </w:rPr>
        <w:t>.</w:t>
      </w:r>
      <w:r>
        <w:rPr>
          <w:rFonts w:hint="eastAsia" w:ascii="楷体_GB2312" w:eastAsia="楷体_GB2312"/>
          <w:b w:val="0"/>
          <w:bCs w:val="0"/>
          <w:color w:val="000000" w:themeColor="text1"/>
          <w:kern w:val="21"/>
          <w:sz w:val="32"/>
          <w:szCs w:val="32"/>
          <w14:textFill>
            <w14:solidFill>
              <w14:schemeClr w14:val="tx1"/>
            </w14:solidFill>
          </w14:textFill>
        </w:rPr>
        <w:t>加强乐平古瓷文化保护传承。</w:t>
      </w:r>
      <w:r>
        <w:rPr>
          <w:rFonts w:hint="eastAsia" w:ascii="仿宋_GB2312" w:eastAsia="仿宋_GB2312"/>
          <w:b w:val="0"/>
          <w:bCs w:val="0"/>
          <w:color w:val="000000" w:themeColor="text1"/>
          <w:kern w:val="21"/>
          <w:sz w:val="32"/>
          <w:szCs w:val="32"/>
          <w14:textFill>
            <w14:solidFill>
              <w14:schemeClr w14:val="tx1"/>
            </w14:solidFill>
          </w14:textFill>
        </w:rPr>
        <w:t>坚持保护为先，加大</w:t>
      </w:r>
      <w:r>
        <w:rPr>
          <w:rFonts w:hint="eastAsia" w:ascii="仿宋_GB2312" w:eastAsia="仿宋_GB2312"/>
          <w:b w:val="0"/>
          <w:bCs w:val="0"/>
          <w:color w:val="FF0000"/>
          <w:kern w:val="21"/>
          <w:sz w:val="32"/>
          <w:szCs w:val="32"/>
        </w:rPr>
        <w:t>古窑古瓷遗址</w:t>
      </w:r>
      <w:r>
        <w:rPr>
          <w:rFonts w:hint="eastAsia" w:ascii="仿宋_GB2312" w:eastAsia="仿宋_GB2312"/>
          <w:b w:val="0"/>
          <w:bCs w:val="0"/>
          <w:color w:val="000000" w:themeColor="text1"/>
          <w:kern w:val="21"/>
          <w:sz w:val="32"/>
          <w:szCs w:val="32"/>
          <w14:textFill>
            <w14:solidFill>
              <w14:schemeClr w14:val="tx1"/>
            </w14:solidFill>
          </w14:textFill>
        </w:rPr>
        <w:t>保护开发力度，着力保护好市域物质形态陶瓷文化遗产。</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做足乐平古瓷文化成色。</w:t>
      </w:r>
      <w:r>
        <w:rPr>
          <w:rFonts w:hint="eastAsia" w:ascii="仿宋_GB2312" w:eastAsia="仿宋_GB2312"/>
          <w:b w:val="0"/>
          <w:bCs w:val="0"/>
          <w:color w:val="000000" w:themeColor="text1"/>
          <w:kern w:val="21"/>
          <w:sz w:val="32"/>
          <w:szCs w:val="32"/>
          <w14:textFill>
            <w14:solidFill>
              <w14:schemeClr w14:val="tx1"/>
            </w14:solidFill>
          </w14:textFill>
        </w:rPr>
        <w:t>立足景德镇“首瓷”定位，联合有关科研院所和文化研究机构，进一步推进以南窑遗址、“平等青”制陶颜料为代表的乐平陶瓷文化的深度挖掘，结合乐平历史脉络，加强理论研究阐发，为景德镇陶瓷文化研究增添浓墨重彩的乐平篇章。</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打造南窑遗址展览中心。</w:t>
      </w:r>
      <w:r>
        <w:rPr>
          <w:rFonts w:hint="eastAsia" w:ascii="仿宋_GB2312" w:eastAsia="仿宋_GB2312"/>
          <w:b w:val="0"/>
          <w:bCs w:val="0"/>
          <w:color w:val="000000" w:themeColor="text1"/>
          <w:kern w:val="21"/>
          <w:sz w:val="32"/>
          <w:szCs w:val="32"/>
          <w14:textFill>
            <w14:solidFill>
              <w14:schemeClr w14:val="tx1"/>
            </w14:solidFill>
          </w14:textFill>
        </w:rPr>
        <w:t>按照边保护边挖掘的方针，坚持“成熟一个、挖掘一个、保护一个、开发一个”原则，稳妥推进南窑周边遗址群挖掘，连点成片，打造南窑遗址群博物馆（展览馆）。</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推进文化遗产活化利用。进一步</w:t>
      </w:r>
      <w:r>
        <w:rPr>
          <w:rFonts w:hint="eastAsia" w:ascii="仿宋_GB2312" w:eastAsia="仿宋_GB2312"/>
          <w:b w:val="0"/>
          <w:bCs w:val="0"/>
          <w:color w:val="000000" w:themeColor="text1"/>
          <w:kern w:val="21"/>
          <w:sz w:val="32"/>
          <w:szCs w:val="32"/>
          <w14:textFill>
            <w14:solidFill>
              <w14:schemeClr w14:val="tx1"/>
            </w14:solidFill>
          </w14:textFill>
        </w:rPr>
        <w:t>推广陶瓷文化，着力紧密景乐文化连接点，增强一体发展协同度，全面融入和深入对接景德镇陶瓷文化传承创新体系，努力提升乐平市域文化在国内国际的知名度、美誉度。</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14</w:t>
      </w:r>
      <w:r>
        <w:rPr>
          <w:rFonts w:ascii="楷体_GB2312" w:eastAsia="楷体_GB2312"/>
          <w:b w:val="0"/>
          <w:bCs w:val="0"/>
          <w:color w:val="000000" w:themeColor="text1"/>
          <w:kern w:val="21"/>
          <w:sz w:val="32"/>
          <w:szCs w:val="32"/>
          <w14:textFill>
            <w14:solidFill>
              <w14:schemeClr w14:val="tx1"/>
            </w14:solidFill>
          </w14:textFill>
        </w:rPr>
        <w:t>.</w:t>
      </w:r>
      <w:r>
        <w:rPr>
          <w:rFonts w:hint="eastAsia" w:ascii="楷体_GB2312" w:eastAsia="楷体_GB2312"/>
          <w:b w:val="0"/>
          <w:bCs w:val="0"/>
          <w:color w:val="000000" w:themeColor="text1"/>
          <w:kern w:val="21"/>
          <w:sz w:val="32"/>
          <w:szCs w:val="32"/>
          <w14:textFill>
            <w14:solidFill>
              <w14:schemeClr w14:val="tx1"/>
            </w14:solidFill>
          </w14:textFill>
        </w:rPr>
        <w:t>助力国际旅游名城建设。</w:t>
      </w:r>
      <w:r>
        <w:rPr>
          <w:rFonts w:hint="eastAsia" w:ascii="仿宋_GB2312" w:eastAsia="仿宋_GB2312"/>
          <w:b w:val="0"/>
          <w:bCs w:val="0"/>
          <w:color w:val="000000" w:themeColor="text1"/>
          <w:kern w:val="21"/>
          <w:sz w:val="32"/>
          <w:szCs w:val="32"/>
          <w14:textFill>
            <w14:solidFill>
              <w14:schemeClr w14:val="tx1"/>
            </w14:solidFill>
          </w14:textFill>
        </w:rPr>
        <w:t>深度融入景德镇国际旅游名城发展格局，加大旅游文化资源整合力度，积极打造旅游精品线路，有机嵌入景德镇旅游版图，做大做强旅游产业，把乐平打造成“国际瓷都”红色旅游首选地、特色旅游目的地。</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完善全域旅游体系。</w:t>
      </w:r>
      <w:r>
        <w:rPr>
          <w:rFonts w:hint="eastAsia" w:ascii="仿宋_GB2312" w:eastAsia="仿宋_GB2312"/>
          <w:b w:val="0"/>
          <w:bCs w:val="0"/>
          <w:color w:val="000000" w:themeColor="text1"/>
          <w:kern w:val="21"/>
          <w:sz w:val="32"/>
          <w:szCs w:val="32"/>
          <w14:textFill>
            <w14:solidFill>
              <w14:schemeClr w14:val="tx1"/>
            </w14:solidFill>
          </w14:textFill>
        </w:rPr>
        <w:t>立足“一心一带六区”发展格局，紧紧围绕乐平国家A级旅游景区建设布局，精心编制全域旅游总体规划，打造层级分明、功能互补的乐平特色文化旅游体系。</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完善旅游发展体制。</w:t>
      </w:r>
      <w:r>
        <w:rPr>
          <w:rFonts w:hint="eastAsia" w:ascii="仿宋_GB2312" w:eastAsia="仿宋_GB2312"/>
          <w:b w:val="0"/>
          <w:bCs w:val="0"/>
          <w:color w:val="000000" w:themeColor="text1"/>
          <w:kern w:val="21"/>
          <w:sz w:val="32"/>
          <w:szCs w:val="32"/>
          <w14:textFill>
            <w14:solidFill>
              <w14:schemeClr w14:val="tx1"/>
            </w14:solidFill>
          </w14:textFill>
        </w:rPr>
        <w:t>坚持问题导向，积极探索创新旅游业体制机制，强化顶层设计，重点推进洪岩仙境、怪石林等景区经营管理体制改革，形成市场化法治化旅游景区管理新体制。</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完善旅游发展功能。</w:t>
      </w:r>
      <w:r>
        <w:rPr>
          <w:rFonts w:hint="eastAsia" w:ascii="仿宋_GB2312" w:eastAsia="仿宋_GB2312"/>
          <w:b w:val="0"/>
          <w:bCs w:val="0"/>
          <w:color w:val="000000" w:themeColor="text1"/>
          <w:kern w:val="21"/>
          <w:sz w:val="32"/>
          <w:szCs w:val="32"/>
          <w14:textFill>
            <w14:solidFill>
              <w14:schemeClr w14:val="tx1"/>
            </w14:solidFill>
          </w14:textFill>
        </w:rPr>
        <w:t>实施旅游基础设施改造提升工程，着力加强以洪岩仙境、文山怪石林等景区旅游公路为主的旅游交通网建设，推进以游客集散中心、旅游宾馆为主的旅游服务网络建设。推进智慧旅游平台和OTA旅游综合服务平台建设，实施“VR全景智慧旅游地图”“一键游乐平”等项目，全面提升乐平旅游服务基础设施配套水平。</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推进特色文旅融合。</w:t>
      </w:r>
      <w:r>
        <w:rPr>
          <w:rFonts w:hint="eastAsia" w:ascii="仿宋_GB2312" w:eastAsia="仿宋_GB2312"/>
          <w:b w:val="0"/>
          <w:bCs w:val="0"/>
          <w:color w:val="000000" w:themeColor="text1"/>
          <w:kern w:val="21"/>
          <w:sz w:val="32"/>
          <w:szCs w:val="32"/>
          <w14:textFill>
            <w14:solidFill>
              <w14:schemeClr w14:val="tx1"/>
            </w14:solidFill>
          </w14:textFill>
        </w:rPr>
        <w:t>将富有乐平地域特色的“洪马文化”、古戏台文化、赣剧文化、进士文化、农耕文化、民俗文化、饮食文化与旅游深度融合，促进文化与旅游融合发展。大力开发特色旅游精品线路，承办好2</w:t>
      </w:r>
      <w:r>
        <w:rPr>
          <w:rFonts w:ascii="仿宋_GB2312" w:eastAsia="仿宋_GB2312"/>
          <w:b w:val="0"/>
          <w:bCs w:val="0"/>
          <w:color w:val="000000" w:themeColor="text1"/>
          <w:kern w:val="21"/>
          <w:sz w:val="32"/>
          <w:szCs w:val="32"/>
          <w14:textFill>
            <w14:solidFill>
              <w14:schemeClr w14:val="tx1"/>
            </w14:solidFill>
          </w14:textFill>
        </w:rPr>
        <w:t>021</w:t>
      </w:r>
      <w:r>
        <w:rPr>
          <w:rFonts w:hint="eastAsia" w:ascii="仿宋_GB2312" w:eastAsia="仿宋_GB2312"/>
          <w:b w:val="0"/>
          <w:bCs w:val="0"/>
          <w:color w:val="000000" w:themeColor="text1"/>
          <w:kern w:val="21"/>
          <w:sz w:val="32"/>
          <w:szCs w:val="32"/>
          <w14:textFill>
            <w14:solidFill>
              <w14:schemeClr w14:val="tx1"/>
            </w14:solidFill>
          </w14:textFill>
        </w:rPr>
        <w:t>全省旅游产业发展大会，打造好客乐平。</w:t>
      </w:r>
    </w:p>
    <w:p>
      <w:pPr>
        <w:spacing w:line="540" w:lineRule="exact"/>
        <w:ind w:firstLine="640" w:firstLineChars="200"/>
        <w:rPr>
          <w:rFonts w:ascii="楷体_GB2312" w:eastAsia="楷体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15</w:t>
      </w:r>
      <w:r>
        <w:rPr>
          <w:rFonts w:ascii="楷体_GB2312" w:eastAsia="楷体_GB2312"/>
          <w:b w:val="0"/>
          <w:bCs w:val="0"/>
          <w:color w:val="000000" w:themeColor="text1"/>
          <w:kern w:val="21"/>
          <w:sz w:val="32"/>
          <w:szCs w:val="32"/>
          <w14:textFill>
            <w14:solidFill>
              <w14:schemeClr w14:val="tx1"/>
            </w14:solidFill>
          </w14:textFill>
        </w:rPr>
        <w:t>.</w:t>
      </w:r>
      <w:r>
        <w:rPr>
          <w:rFonts w:hint="eastAsia" w:ascii="楷体_GB2312" w:eastAsia="楷体_GB2312"/>
          <w:b w:val="0"/>
          <w:bCs w:val="0"/>
          <w:color w:val="000000" w:themeColor="text1"/>
          <w:kern w:val="21"/>
          <w:sz w:val="32"/>
          <w:szCs w:val="32"/>
          <w14:textFill>
            <w14:solidFill>
              <w14:schemeClr w14:val="tx1"/>
            </w14:solidFill>
          </w14:textFill>
        </w:rPr>
        <w:t>推进景乐一体化发展。</w:t>
      </w:r>
      <w:r>
        <w:rPr>
          <w:rFonts w:hint="eastAsia" w:ascii="仿宋_GB2312" w:eastAsia="仿宋_GB2312"/>
          <w:b w:val="0"/>
          <w:bCs w:val="0"/>
          <w:color w:val="000000" w:themeColor="text1"/>
          <w:kern w:val="21"/>
          <w:sz w:val="32"/>
          <w:szCs w:val="32"/>
          <w14:textFill>
            <w14:solidFill>
              <w14:schemeClr w14:val="tx1"/>
            </w14:solidFill>
          </w14:textFill>
        </w:rPr>
        <w:t>围绕景德镇城镇发展新中心战略定位，加快推动乐平与景德镇主城区相向融合发展，实现</w:t>
      </w:r>
      <w:r>
        <w:rPr>
          <w:rFonts w:ascii="仿宋_GB2312" w:eastAsia="仿宋_GB2312"/>
          <w:b w:val="0"/>
          <w:bCs w:val="0"/>
          <w:color w:val="000000" w:themeColor="text1"/>
          <w:kern w:val="21"/>
          <w:sz w:val="32"/>
          <w:szCs w:val="32"/>
          <w14:textFill>
            <w14:solidFill>
              <w14:schemeClr w14:val="tx1"/>
            </w14:solidFill>
          </w14:textFill>
        </w:rPr>
        <w:t>全面对接、深度</w:t>
      </w:r>
      <w:r>
        <w:rPr>
          <w:rFonts w:hint="eastAsia" w:ascii="仿宋_GB2312" w:eastAsia="仿宋_GB2312"/>
          <w:b w:val="0"/>
          <w:bCs w:val="0"/>
          <w:color w:val="000000" w:themeColor="text1"/>
          <w:kern w:val="21"/>
          <w:sz w:val="32"/>
          <w:szCs w:val="32"/>
          <w14:textFill>
            <w14:solidFill>
              <w14:schemeClr w14:val="tx1"/>
            </w14:solidFill>
          </w14:textFill>
        </w:rPr>
        <w:t>融合</w:t>
      </w:r>
      <w:r>
        <w:rPr>
          <w:rFonts w:ascii="仿宋_GB2312" w:eastAsia="仿宋_GB2312"/>
          <w:b w:val="0"/>
          <w:bCs w:val="0"/>
          <w:color w:val="000000" w:themeColor="text1"/>
          <w:kern w:val="21"/>
          <w:sz w:val="32"/>
          <w:szCs w:val="32"/>
          <w14:textFill>
            <w14:solidFill>
              <w14:schemeClr w14:val="tx1"/>
            </w14:solidFill>
          </w14:textFill>
        </w:rPr>
        <w:t>、精准</w:t>
      </w:r>
      <w:r>
        <w:rPr>
          <w:rFonts w:hint="eastAsia" w:ascii="仿宋_GB2312" w:eastAsia="仿宋_GB2312"/>
          <w:b w:val="0"/>
          <w:bCs w:val="0"/>
          <w:color w:val="000000" w:themeColor="text1"/>
          <w:kern w:val="21"/>
          <w:sz w:val="32"/>
          <w:szCs w:val="32"/>
          <w14:textFill>
            <w14:solidFill>
              <w14:schemeClr w14:val="tx1"/>
            </w14:solidFill>
          </w14:textFill>
        </w:rPr>
        <w:t>承接。</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全方位构建“一主四副”市域格局。</w:t>
      </w:r>
      <w:r>
        <w:rPr>
          <w:rFonts w:hint="eastAsia" w:ascii="仿宋_GB2312" w:eastAsia="仿宋_GB2312"/>
          <w:b w:val="0"/>
          <w:bCs w:val="0"/>
          <w:color w:val="000000" w:themeColor="text1"/>
          <w:kern w:val="21"/>
          <w:sz w:val="32"/>
          <w:szCs w:val="32"/>
          <w14:textFill>
            <w14:solidFill>
              <w14:schemeClr w14:val="tx1"/>
            </w14:solidFill>
          </w14:textFill>
        </w:rPr>
        <w:t>实施“北进、西拓”空间战略，</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向北融入景德镇国家试验区先行区，向西融入鄱阳湖生态经济区，</w:t>
      </w:r>
      <w:bookmarkStart w:id="21" w:name="_Hlk51133766"/>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以主城区为“中心”，</w:t>
      </w:r>
      <w:bookmarkStart w:id="22" w:name="_Hlk51133831"/>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着力形成我市新时代“</w:t>
      </w:r>
      <w:bookmarkStart w:id="23" w:name="_Hlk51133899"/>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五星连珠</w:t>
      </w:r>
      <w:bookmarkEnd w:id="23"/>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w:t>
      </w:r>
      <w:bookmarkStart w:id="24" w:name="_Hlk50985079"/>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四辰拱卫</w:t>
      </w:r>
      <w:bookmarkEnd w:id="24"/>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w:t>
      </w:r>
      <w:bookmarkStart w:id="25" w:name="_Hlk51133925"/>
      <w:bookmarkStart w:id="26" w:name="_Hlk50985136"/>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“十一珠溢彩”</w:t>
      </w:r>
      <w:bookmarkEnd w:id="25"/>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的城市</w:t>
      </w:r>
      <w:bookmarkEnd w:id="26"/>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空间新格局。</w:t>
      </w:r>
      <w:bookmarkEnd w:id="21"/>
      <w:bookmarkEnd w:id="22"/>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全方位完善交通网络。</w:t>
      </w:r>
      <w:r>
        <w:rPr>
          <w:rFonts w:hint="eastAsia" w:ascii="仿宋_GB2312" w:eastAsia="仿宋_GB2312"/>
          <w:b w:val="0"/>
          <w:bCs w:val="0"/>
          <w:color w:val="000000" w:themeColor="text1"/>
          <w:kern w:val="21"/>
          <w:sz w:val="32"/>
          <w:szCs w:val="32"/>
          <w14:textFill>
            <w14:solidFill>
              <w14:schemeClr w14:val="tx1"/>
            </w14:solidFill>
          </w14:textFill>
        </w:rPr>
        <w:t>树立“大交通意识”，</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大力发展高速、国道、航运、铁路“无缝对接”联运模式，</w:t>
      </w:r>
      <w:r>
        <w:rPr>
          <w:rFonts w:hint="eastAsia" w:ascii="仿宋_GB2312" w:eastAsia="仿宋_GB2312"/>
          <w:b w:val="0"/>
          <w:bCs w:val="0"/>
          <w:color w:val="000000" w:themeColor="text1"/>
          <w:kern w:val="21"/>
          <w:sz w:val="32"/>
          <w:szCs w:val="32"/>
          <w14:textFill>
            <w14:solidFill>
              <w14:schemeClr w14:val="tx1"/>
            </w14:solidFill>
          </w14:textFill>
        </w:rPr>
        <w:t>按照“通站通港通两区（园区、景区）、畅东畅西畅南北、大环中环套内环、加密加宽加等级”的思路规划，以206国道“工业廊道”规划建设为契机，做好与景德镇北站、昌景黄客运专线乐平北站与区域枢纽机场的快速衔接，构建“景德镇——乐平30分钟交通圈”，加快推进“乐平——景德镇高质量一体化”发展。推动乐安江复航工作，重现乐安江通江达海黄金水道的功能。抓好昌景黄高铁乐平北站建设,推进景鹰瑞高铁项目，逐步改造和提升城镇道路等级，构建完善中心城区与重点镇“25分钟交通圈”，中心城区与交通枢纽“20分钟交通圈”，优化交通空间布局和枢纽节点。</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eastAsia="楷体_GB2312"/>
          <w:b w:val="0"/>
          <w:bCs w:val="0"/>
          <w:color w:val="000000" w:themeColor="text1"/>
          <w:kern w:val="21"/>
          <w:sz w:val="32"/>
          <w:szCs w:val="32"/>
          <w14:textFill>
            <w14:solidFill>
              <w14:schemeClr w14:val="tx1"/>
            </w14:solidFill>
          </w14:textFill>
        </w:rPr>
        <w:t>16</w:t>
      </w:r>
      <w:r>
        <w:rPr>
          <w:rFonts w:ascii="楷体_GB2312" w:eastAsia="楷体_GB2312"/>
          <w:b w:val="0"/>
          <w:bCs w:val="0"/>
          <w:color w:val="000000" w:themeColor="text1"/>
          <w:kern w:val="21"/>
          <w:sz w:val="32"/>
          <w:szCs w:val="32"/>
          <w14:textFill>
            <w14:solidFill>
              <w14:schemeClr w14:val="tx1"/>
            </w14:solidFill>
          </w14:textFill>
        </w:rPr>
        <w:t>.</w:t>
      </w:r>
      <w:r>
        <w:rPr>
          <w:rFonts w:hint="eastAsia" w:ascii="楷体_GB2312" w:eastAsia="楷体_GB2312"/>
          <w:b w:val="0"/>
          <w:bCs w:val="0"/>
          <w:color w:val="000000" w:themeColor="text1"/>
          <w:kern w:val="21"/>
          <w:sz w:val="32"/>
          <w:szCs w:val="32"/>
          <w14:textFill>
            <w14:solidFill>
              <w14:schemeClr w14:val="tx1"/>
            </w14:solidFill>
          </w14:textFill>
        </w:rPr>
        <w:t>推进城市功能品质建设。</w:t>
      </w:r>
      <w:r>
        <w:rPr>
          <w:rFonts w:hint="eastAsia" w:ascii="仿宋_GB2312" w:eastAsia="仿宋_GB2312"/>
          <w:b w:val="0"/>
          <w:bCs w:val="0"/>
          <w:color w:val="000000" w:themeColor="text1"/>
          <w:kern w:val="21"/>
          <w:sz w:val="32"/>
          <w:szCs w:val="32"/>
          <w14:textFill>
            <w14:solidFill>
              <w14:schemeClr w14:val="tx1"/>
            </w14:solidFill>
          </w14:textFill>
        </w:rPr>
        <w:t>聚焦新型人文城市建设，深化“多规合一”改革，健全国土空间规划体系，</w:t>
      </w:r>
      <w:r>
        <w:rPr>
          <w:rFonts w:ascii="仿宋_GB2312" w:eastAsia="仿宋_GB2312"/>
          <w:b w:val="0"/>
          <w:bCs w:val="0"/>
          <w:color w:val="000000" w:themeColor="text1"/>
          <w:kern w:val="21"/>
          <w:sz w:val="32"/>
          <w:szCs w:val="32"/>
          <w14:textFill>
            <w14:solidFill>
              <w14:schemeClr w14:val="tx1"/>
            </w14:solidFill>
          </w14:textFill>
        </w:rPr>
        <w:t>深化城市管理体制改革</w:t>
      </w:r>
      <w:r>
        <w:rPr>
          <w:rFonts w:hint="eastAsia" w:ascii="仿宋_GB2312" w:eastAsia="仿宋_GB2312"/>
          <w:b w:val="0"/>
          <w:bCs w:val="0"/>
          <w:color w:val="000000" w:themeColor="text1"/>
          <w:kern w:val="21"/>
          <w:sz w:val="32"/>
          <w:szCs w:val="32"/>
          <w14:textFill>
            <w14:solidFill>
              <w14:schemeClr w14:val="tx1"/>
            </w14:solidFill>
          </w14:textFill>
        </w:rPr>
        <w:t>，提升城市综合承载能力和服务水平。</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做好城市有机更新。</w:t>
      </w:r>
      <w:r>
        <w:rPr>
          <w:rFonts w:hint="eastAsia" w:ascii="仿宋_GB2312" w:eastAsia="仿宋_GB2312"/>
          <w:b w:val="0"/>
          <w:bCs w:val="0"/>
          <w:color w:val="000000" w:themeColor="text1"/>
          <w:kern w:val="21"/>
          <w:sz w:val="32"/>
          <w:szCs w:val="32"/>
          <w14:textFill>
            <w14:solidFill>
              <w14:schemeClr w14:val="tx1"/>
            </w14:solidFill>
          </w14:textFill>
        </w:rPr>
        <w:t>推进城市生态修复、功能完善工程和低效用地再开发，塑造城市风貌，打造“城市客厅”和“最美天际线”，提升乐平城市形象。</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做实新老城市建设。</w:t>
      </w:r>
      <w:r>
        <w:rPr>
          <w:rFonts w:hint="eastAsia" w:ascii="仿宋_GB2312" w:eastAsia="仿宋_GB2312"/>
          <w:b w:val="0"/>
          <w:bCs w:val="0"/>
          <w:color w:val="000000" w:themeColor="text1"/>
          <w:kern w:val="21"/>
          <w:sz w:val="32"/>
          <w:szCs w:val="32"/>
          <w14:textFill>
            <w14:solidFill>
              <w14:schemeClr w14:val="tx1"/>
            </w14:solidFill>
          </w14:textFill>
        </w:rPr>
        <w:t>加强老城保护和更新，传承历史文脉，凸显历史特色，实现老城功能的完善、文化的修复提升、业态的有序更新。按照“乐平门户、城市客厅、产业新城、幸福家园”发展定位，加快新城建设，突出产城融合，有序植入业态，高品质建设城北、城东新城。</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做美城市宜居环境。</w:t>
      </w:r>
      <w:r>
        <w:rPr>
          <w:rFonts w:ascii="仿宋_GB2312" w:eastAsia="仿宋_GB2312"/>
          <w:b w:val="0"/>
          <w:bCs w:val="0"/>
          <w:color w:val="000000" w:themeColor="text1"/>
          <w:kern w:val="21"/>
          <w:sz w:val="32"/>
          <w:szCs w:val="32"/>
          <w14:textFill>
            <w14:solidFill>
              <w14:schemeClr w14:val="tx1"/>
            </w14:solidFill>
          </w14:textFill>
        </w:rPr>
        <w:t>按照</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精心规划、精致建设、精细管理、精美呈现</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要求，统筹城市规划、建设、管理，深入实施城市功能品质提升行动，</w:t>
      </w:r>
      <w:r>
        <w:rPr>
          <w:rFonts w:hint="eastAsia" w:ascii="仿宋_GB2312" w:eastAsia="仿宋_GB2312"/>
          <w:b w:val="0"/>
          <w:bCs w:val="0"/>
          <w:color w:val="000000" w:themeColor="text1"/>
          <w:kern w:val="21"/>
          <w:sz w:val="32"/>
          <w:szCs w:val="32"/>
          <w14:textFill>
            <w14:solidFill>
              <w14:schemeClr w14:val="tx1"/>
            </w14:solidFill>
          </w14:textFill>
        </w:rPr>
        <w:t>全面推进城镇老旧小区改造，做好背街小巷空间整治和地面维修，优化新型城市功能单元。坚持房住不炒定位，增加保障性住房供给，提升城市宜居品质。加强城市地下空间开发利用，开展城市洪涝监测预报预警，增强城市防洪排涝能力，建设宜居城市、智慧城市、海绵城市、韧性城市，建立城市生态系统和安全系统，创建安全发展示范城市。</w:t>
      </w:r>
    </w:p>
    <w:p>
      <w:pPr>
        <w:pStyle w:val="3"/>
        <w:spacing w:after="0" w:line="540" w:lineRule="exact"/>
        <w:ind w:firstLine="640" w:firstLineChars="200"/>
        <w:rPr>
          <w:rFonts w:ascii="仿宋_GB2312" w:hAnsi="仿宋_GB2312" w:eastAsia="黑体" w:cs="仿宋_GB2312"/>
          <w:b w:val="0"/>
          <w:bCs w:val="0"/>
          <w:color w:val="000000" w:themeColor="text1"/>
          <w:kern w:val="21"/>
          <w:sz w:val="32"/>
          <w:szCs w:val="32"/>
          <w:shd w:val="clear" w:color="auto" w:fill="FFFFFF"/>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六</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聚焦聚力挖掘潜力，在繁荣乐平文化上求提升</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坚持以社会主义核心价值观为引领，</w:t>
      </w:r>
      <w:r>
        <w:rPr>
          <w:rFonts w:ascii="仿宋_GB2312" w:hAnsi="仿宋_GB2312" w:eastAsia="仿宋_GB2312" w:cs="仿宋_GB2312"/>
          <w:b w:val="0"/>
          <w:bCs w:val="0"/>
          <w:color w:val="000000" w:themeColor="text1"/>
          <w:kern w:val="21"/>
          <w:sz w:val="32"/>
          <w:szCs w:val="32"/>
          <w14:textFill>
            <w14:solidFill>
              <w14:schemeClr w14:val="tx1"/>
            </w14:solidFill>
          </w14:textFill>
        </w:rPr>
        <w:t>围绕举旗帜、聚民心、育新人、兴文化、展形象的使命任务，坚持为人民服务、为社会主义服务的方向，</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坚持传承与创新并举、保护与发展同行，加快构建</w:t>
      </w:r>
      <w:r>
        <w:rPr>
          <w:rFonts w:ascii="仿宋_GB2312" w:hAnsi="仿宋_GB2312" w:eastAsia="仿宋_GB2312" w:cs="仿宋_GB2312"/>
          <w:b w:val="0"/>
          <w:bCs w:val="0"/>
          <w:color w:val="000000" w:themeColor="text1"/>
          <w:kern w:val="21"/>
          <w:sz w:val="32"/>
          <w:szCs w:val="32"/>
          <w14:textFill>
            <w14:solidFill>
              <w14:schemeClr w14:val="tx1"/>
            </w14:solidFill>
          </w14:textFill>
        </w:rPr>
        <w:t>现代文化产业体系和市场体系</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，全面提升公共文化服务供给能力，</w:t>
      </w:r>
      <w:r>
        <w:rPr>
          <w:rFonts w:ascii="仿宋_GB2312" w:hAnsi="仿宋_GB2312" w:eastAsia="仿宋_GB2312" w:cs="仿宋_GB2312"/>
          <w:b w:val="0"/>
          <w:bCs w:val="0"/>
          <w:color w:val="000000" w:themeColor="text1"/>
          <w:kern w:val="21"/>
          <w:sz w:val="32"/>
          <w:szCs w:val="32"/>
          <w14:textFill>
            <w14:solidFill>
              <w14:schemeClr w14:val="tx1"/>
            </w14:solidFill>
          </w14:textFill>
        </w:rPr>
        <w:t>提升</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乐平</w:t>
      </w:r>
      <w:r>
        <w:rPr>
          <w:rFonts w:ascii="仿宋_GB2312" w:hAnsi="仿宋_GB2312" w:eastAsia="仿宋_GB2312" w:cs="仿宋_GB2312"/>
          <w:b w:val="0"/>
          <w:bCs w:val="0"/>
          <w:color w:val="000000" w:themeColor="text1"/>
          <w:kern w:val="21"/>
          <w:sz w:val="32"/>
          <w:szCs w:val="32"/>
          <w14:textFill>
            <w14:solidFill>
              <w14:schemeClr w14:val="tx1"/>
            </w14:solidFill>
          </w14:textFill>
        </w:rPr>
        <w:t>文化软实力和社会文明程度，加快建设文化强</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市</w:t>
      </w:r>
      <w:r>
        <w:rPr>
          <w:rFonts w:ascii="仿宋_GB2312" w:hAnsi="仿宋_GB2312" w:eastAsia="仿宋_GB2312" w:cs="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17</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着力传承弘扬红色基因。</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充分发挥我市红色文化资源优势，大力实施红色精神代代相传工程，深入学习宣传研究方志敏革命精神，弘扬红十军精神、共库精神，强化青少年红色文化宣传教育，推动红色精神深入人心。</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打造红色文化精品。</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立足我市赣东北特委、篁坞方志敏旧居等</w:t>
      </w:r>
      <w:r>
        <w:rPr>
          <w:rFonts w:hint="eastAsia" w:ascii="仿宋_GB2312" w:hAnsi="仿宋_GB2312" w:eastAsia="仿宋_GB2312" w:cs="仿宋_GB2312"/>
          <w:b w:val="0"/>
          <w:bCs w:val="0"/>
          <w:color w:val="FF0000"/>
          <w:kern w:val="21"/>
          <w:sz w:val="32"/>
          <w:szCs w:val="32"/>
        </w:rPr>
        <w:t>3</w:t>
      </w:r>
      <w:r>
        <w:rPr>
          <w:rFonts w:ascii="仿宋_GB2312" w:hAnsi="仿宋_GB2312" w:eastAsia="仿宋_GB2312" w:cs="仿宋_GB2312"/>
          <w:b w:val="0"/>
          <w:bCs w:val="0"/>
          <w:color w:val="FF0000"/>
          <w:kern w:val="21"/>
          <w:sz w:val="32"/>
          <w:szCs w:val="32"/>
        </w:rPr>
        <w:t>6</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处革命遗存，加强红色档案保护、研究、开发、利用，完善红色资源保护体系。</w:t>
      </w:r>
      <w:r>
        <w:rPr>
          <w:rFonts w:ascii="仿宋_GB2312" w:hAnsi="仿宋_GB2312" w:eastAsia="仿宋_GB2312" w:cs="仿宋_GB2312"/>
          <w:b w:val="0"/>
          <w:bCs w:val="0"/>
          <w:color w:val="000000" w:themeColor="text1"/>
          <w:kern w:val="21"/>
          <w:sz w:val="32"/>
          <w:szCs w:val="32"/>
          <w14:textFill>
            <w14:solidFill>
              <w14:schemeClr w14:val="tx1"/>
            </w14:solidFill>
          </w14:textFill>
        </w:rPr>
        <w:t>整理红色历史、编排红色节目、宣讲红色故事</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，形成一批红色文艺精品。</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弘扬红色文化魅力。</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打造红色文化保护传承示范基地，建设“红色名村”。利用古戏台大讲堂等乐平特色平台，</w:t>
      </w:r>
      <w:r>
        <w:rPr>
          <w:rFonts w:ascii="仿宋_GB2312" w:hAnsi="仿宋_GB2312" w:eastAsia="仿宋_GB2312" w:cs="仿宋_GB2312"/>
          <w:b w:val="0"/>
          <w:bCs w:val="0"/>
          <w:color w:val="000000" w:themeColor="text1"/>
          <w:kern w:val="21"/>
          <w:sz w:val="32"/>
          <w:szCs w:val="32"/>
          <w14:textFill>
            <w14:solidFill>
              <w14:schemeClr w14:val="tx1"/>
            </w14:solidFill>
          </w14:textFill>
        </w:rPr>
        <w:t>推进红色文化进学校、进机关、进企业、进社区活动</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，着重演绎红色经典，全面推进红色文化建设。</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18</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强化传统文化传承保护。</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持续推进历史文化名城名镇名村以及传统村落保护利用，积极探索规划管控、</w:t>
      </w:r>
      <w:r>
        <w:rPr>
          <w:rFonts w:ascii="仿宋_GB2312" w:hAnsi="仿宋_GB2312" w:eastAsia="仿宋_GB2312" w:cs="仿宋_GB2312"/>
          <w:b w:val="0"/>
          <w:bCs w:val="0"/>
          <w:color w:val="000000" w:themeColor="text1"/>
          <w:kern w:val="21"/>
          <w:sz w:val="32"/>
          <w:szCs w:val="32"/>
          <w14:textFill>
            <w14:solidFill>
              <w14:schemeClr w14:val="tx1"/>
            </w14:solidFill>
          </w14:textFill>
        </w:rPr>
        <w:t>评估监测</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和活化利用机制，</w:t>
      </w:r>
      <w:r>
        <w:rPr>
          <w:rFonts w:ascii="仿宋_GB2312" w:hAnsi="仿宋_GB2312" w:eastAsia="仿宋_GB2312" w:cs="仿宋_GB2312"/>
          <w:b w:val="0"/>
          <w:bCs w:val="0"/>
          <w:color w:val="000000" w:themeColor="text1"/>
          <w:kern w:val="21"/>
          <w:sz w:val="32"/>
          <w:szCs w:val="32"/>
          <w14:textFill>
            <w14:solidFill>
              <w14:schemeClr w14:val="tx1"/>
            </w14:solidFill>
          </w14:textFill>
        </w:rPr>
        <w:t>建立</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健全</w:t>
      </w:r>
      <w:r>
        <w:rPr>
          <w:rFonts w:ascii="仿宋_GB2312" w:hAnsi="仿宋_GB2312" w:eastAsia="仿宋_GB2312" w:cs="仿宋_GB2312"/>
          <w:b w:val="0"/>
          <w:bCs w:val="0"/>
          <w:color w:val="000000" w:themeColor="text1"/>
          <w:kern w:val="21"/>
          <w:sz w:val="32"/>
          <w:szCs w:val="32"/>
          <w14:textFill>
            <w14:solidFill>
              <w14:schemeClr w14:val="tx1"/>
            </w14:solidFill>
          </w14:textFill>
        </w:rPr>
        <w:t>文化遗产保护</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体系。</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推动乐平文化“保起来”。</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强化重要文化、重要文物和自然遗产、非物质文化遗产系统性保护，积极开展濒危遗产普查、发掘、整理和抢救工作。</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推动乐平文化“活起来”。</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深入挖掘具有乐平特色的优秀传统文化资源，加强优秀传统手工艺保护和传承。重点推进</w:t>
      </w:r>
      <w:r>
        <w:rPr>
          <w:rFonts w:hint="eastAsia" w:ascii="仿宋_GB2312" w:hAnsi="仿宋_GB2312" w:eastAsia="仿宋_GB2312" w:cs="仿宋_GB2312"/>
          <w:b w:val="0"/>
          <w:bCs w:val="0"/>
          <w:color w:val="FF0000"/>
          <w:kern w:val="21"/>
          <w:sz w:val="32"/>
          <w:szCs w:val="32"/>
        </w:rPr>
        <w:t>古戏台和</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鸡公山古人类遗址保护工程，支持赣剧乐平高腔申报国家级省级非遗名录，传承历史文脉。</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推动乐平文化“走出去”。</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积极参加</w:t>
      </w:r>
      <w:r>
        <w:rPr>
          <w:rFonts w:ascii="仿宋_GB2312" w:hAnsi="仿宋_GB2312" w:eastAsia="仿宋_GB2312" w:cs="仿宋_GB2312"/>
          <w:b w:val="0"/>
          <w:bCs w:val="0"/>
          <w:color w:val="000000" w:themeColor="text1"/>
          <w:kern w:val="21"/>
          <w:sz w:val="32"/>
          <w:szCs w:val="32"/>
          <w14:textFill>
            <w14:solidFill>
              <w14:schemeClr w14:val="tx1"/>
            </w14:solidFill>
          </w14:textFill>
        </w:rPr>
        <w:t>江西“一带一路”文化交流合作行动，开展</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洪马文化、赣剧文化、古戏台文化</w:t>
      </w:r>
      <w:r>
        <w:rPr>
          <w:rFonts w:ascii="仿宋_GB2312" w:hAnsi="仿宋_GB2312" w:eastAsia="仿宋_GB2312" w:cs="仿宋_GB2312"/>
          <w:b w:val="0"/>
          <w:bCs w:val="0"/>
          <w:color w:val="000000" w:themeColor="text1"/>
          <w:kern w:val="21"/>
          <w:sz w:val="32"/>
          <w:szCs w:val="32"/>
          <w14:textFill>
            <w14:solidFill>
              <w14:schemeClr w14:val="tx1"/>
            </w14:solidFill>
          </w14:textFill>
        </w:rPr>
        <w:t>海外传播等重大活动，打造一批国际文化交流合作标志性工程，进一步提升</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乐平</w:t>
      </w:r>
      <w:r>
        <w:rPr>
          <w:rFonts w:ascii="仿宋_GB2312" w:hAnsi="仿宋_GB2312" w:eastAsia="仿宋_GB2312" w:cs="仿宋_GB2312"/>
          <w:b w:val="0"/>
          <w:bCs w:val="0"/>
          <w:color w:val="000000" w:themeColor="text1"/>
          <w:kern w:val="21"/>
          <w:sz w:val="32"/>
          <w:szCs w:val="32"/>
          <w14:textFill>
            <w14:solidFill>
              <w14:schemeClr w14:val="tx1"/>
            </w14:solidFill>
          </w14:textFill>
        </w:rPr>
        <w:t>文化海外影响力。</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19</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提升公共文化服务效能。</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加强</w:t>
      </w:r>
      <w:r>
        <w:rPr>
          <w:rFonts w:hint="eastAsia" w:ascii="仿宋_GB2312" w:eastAsia="仿宋_GB2312"/>
          <w:b w:val="0"/>
          <w:bCs w:val="0"/>
          <w:color w:val="000000" w:themeColor="text1"/>
          <w:kern w:val="21"/>
          <w:sz w:val="32"/>
          <w:szCs w:val="32"/>
          <w14:textFill>
            <w14:solidFill>
              <w14:schemeClr w14:val="tx1"/>
            </w14:solidFill>
          </w14:textFill>
        </w:rPr>
        <w:t>文化惠民工程建设，完善各级各类公共文化设施建设，更好发挥图书馆、博物馆等作用，建设城乡一体、区域均衡、人群均等的现代公共文化服务体系。</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全面繁荣公共文化事业。</w:t>
      </w:r>
      <w:r>
        <w:rPr>
          <w:rFonts w:hint="eastAsia" w:ascii="仿宋_GB2312" w:eastAsia="仿宋_GB2312"/>
          <w:b w:val="0"/>
          <w:bCs w:val="0"/>
          <w:color w:val="000000" w:themeColor="text1"/>
          <w:kern w:val="21"/>
          <w:sz w:val="32"/>
          <w:szCs w:val="32"/>
          <w14:textFill>
            <w14:solidFill>
              <w14:schemeClr w14:val="tx1"/>
            </w14:solidFill>
          </w14:textFill>
        </w:rPr>
        <w:t>全面繁荣新闻出版、广播电视、文学艺术、地方志事业，充分发挥融媒体中心作用，</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打造一批非遗展示中心和赣剧乐平高腔演艺中心。健全完善文化管理体制，繁荣文化文艺作品创作生产，打造一批独具乐平特色的标志性精品性力作，扩大优质文化产品供给。</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大力实施文化惠民工程。</w:t>
      </w:r>
      <w:r>
        <w:rPr>
          <w:rFonts w:hint="eastAsia" w:ascii="仿宋_GB2312" w:eastAsia="仿宋_GB2312"/>
          <w:b w:val="0"/>
          <w:bCs w:val="0"/>
          <w:color w:val="000000" w:themeColor="text1"/>
          <w:kern w:val="21"/>
          <w:sz w:val="32"/>
          <w:szCs w:val="32"/>
          <w14:textFill>
            <w14:solidFill>
              <w14:schemeClr w14:val="tx1"/>
            </w14:solidFill>
          </w14:textFill>
        </w:rPr>
        <w:t>谋划乐平民俗文化一条街，打造古戏台特色小镇和“史前文化</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园”。</w:t>
      </w:r>
      <w:r>
        <w:rPr>
          <w:rFonts w:hint="eastAsia" w:ascii="仿宋_GB2312" w:eastAsia="仿宋_GB2312"/>
          <w:b w:val="0"/>
          <w:bCs w:val="0"/>
          <w:color w:val="000000" w:themeColor="text1"/>
          <w:kern w:val="21"/>
          <w:sz w:val="32"/>
          <w:szCs w:val="32"/>
          <w14:textFill>
            <w14:solidFill>
              <w14:schemeClr w14:val="tx1"/>
            </w14:solidFill>
          </w14:textFill>
        </w:rPr>
        <w:t>推进城市运动型休闲公园建设，</w:t>
      </w:r>
      <w:r>
        <w:rPr>
          <w:rFonts w:ascii="仿宋_GB2312" w:eastAsia="仿宋_GB2312"/>
          <w:b w:val="0"/>
          <w:bCs w:val="0"/>
          <w:color w:val="000000" w:themeColor="text1"/>
          <w:kern w:val="21"/>
          <w:sz w:val="32"/>
          <w:szCs w:val="32"/>
          <w14:textFill>
            <w14:solidFill>
              <w14:schemeClr w14:val="tx1"/>
            </w14:solidFill>
          </w14:textFill>
        </w:rPr>
        <w:t>构建更高水平的全民健身公共服务体系，</w:t>
      </w:r>
      <w:r>
        <w:rPr>
          <w:rFonts w:hint="eastAsia" w:ascii="仿宋_GB2312" w:eastAsia="仿宋_GB2312"/>
          <w:b w:val="0"/>
          <w:bCs w:val="0"/>
          <w:color w:val="000000" w:themeColor="text1"/>
          <w:kern w:val="21"/>
          <w:sz w:val="32"/>
          <w:szCs w:val="32"/>
          <w14:textFill>
            <w14:solidFill>
              <w14:schemeClr w14:val="tx1"/>
            </w14:solidFill>
          </w14:textFill>
        </w:rPr>
        <w:t>完善群众身边健身场地设施网络，大力发展群众体育活动，增强乐平人民体质。依托体育中心，承接更多文体活动，发展体育经济，打造体育强市。</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20.不断提高社会文明程度。</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推动形成适应新时代要求和兼具乐平本土特色的思想观念、精神面貌、文明风尚、行为规范。扎实推进社会主义核心价值观建设，加强“四史”教育，加强爱国主义、集体主义、社会主义教育，</w:t>
      </w:r>
      <w:r>
        <w:rPr>
          <w:rFonts w:ascii="仿宋_GB2312" w:hAnsi="仿宋_GB2312" w:eastAsia="仿宋_GB2312" w:cs="仿宋_GB2312"/>
          <w:b w:val="0"/>
          <w:bCs w:val="0"/>
          <w:color w:val="000000" w:themeColor="text1"/>
          <w:kern w:val="21"/>
          <w:sz w:val="32"/>
          <w:szCs w:val="32"/>
          <w14:textFill>
            <w14:solidFill>
              <w14:schemeClr w14:val="tx1"/>
            </w14:solidFill>
          </w14:textFill>
        </w:rPr>
        <w:t>弘扬劳模精神、劳动精神</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，推动</w:t>
      </w:r>
      <w:r>
        <w:rPr>
          <w:rFonts w:hint="eastAsia" w:ascii="仿宋_GB2312" w:eastAsia="仿宋_GB2312"/>
          <w:b w:val="0"/>
          <w:bCs w:val="0"/>
          <w:color w:val="000000" w:themeColor="text1"/>
          <w:kern w:val="21"/>
          <w:sz w:val="32"/>
          <w:szCs w:val="32"/>
          <w14:textFill>
            <w14:solidFill>
              <w14:schemeClr w14:val="tx1"/>
            </w14:solidFill>
          </w14:textFill>
        </w:rPr>
        <w:t>理想信念教育常态化制度化，培育</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社会主义新人。</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深入实施公民道德建设工程。</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积极组织开展道德模范和“中国好人”“江西好人</w:t>
      </w:r>
      <w:r>
        <w:rPr>
          <w:rFonts w:hint="eastAsia" w:ascii="仿宋_GB2312" w:eastAsia="仿宋_GB2312"/>
          <w:b w:val="0"/>
          <w:bCs w:val="0"/>
          <w:color w:val="000000" w:themeColor="text1"/>
          <w:kern w:val="21"/>
          <w:sz w:val="32"/>
          <w:szCs w:val="32"/>
          <w14:textFill>
            <w14:solidFill>
              <w14:schemeClr w14:val="tx1"/>
            </w14:solidFill>
          </w14:textFill>
        </w:rPr>
        <w:t>”“瓷都好人”“乐平好人”等推荐评选评议活动，培育好人文化</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，树立正向标杆，弘扬道德新风，打造乐平志愿服务品牌。</w:t>
      </w:r>
    </w:p>
    <w:p>
      <w:pPr>
        <w:spacing w:line="540" w:lineRule="exact"/>
        <w:ind w:firstLine="640" w:firstLineChars="200"/>
        <w:rPr>
          <w:rFonts w:ascii="仿宋_GB2312" w:hAnsi="仿宋_GB2312" w:eastAsia="仿宋_GB2312" w:cs="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深入开展精神文明创建活动。</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拓展新时代文明实践中心建设。积极落实</w:t>
      </w:r>
      <w:r>
        <w:rPr>
          <w:rFonts w:ascii="仿宋_GB2312" w:hAnsi="仿宋_GB2312" w:eastAsia="仿宋_GB2312" w:cs="仿宋_GB2312"/>
          <w:b w:val="0"/>
          <w:bCs w:val="0"/>
          <w:color w:val="000000" w:themeColor="text1"/>
          <w:kern w:val="21"/>
          <w:sz w:val="32"/>
          <w:szCs w:val="32"/>
          <w14:textFill>
            <w14:solidFill>
              <w14:schemeClr w14:val="tx1"/>
            </w14:solidFill>
          </w14:textFill>
        </w:rPr>
        <w:t>中华优秀传统文化传承发展工程</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，扎实推进全国文明城市等“五大创建”活动，厉行节俭、反对浪费，弘扬“帮帮团”等志愿精神，健全志愿者服务体系</w:t>
      </w:r>
      <w:r>
        <w:rPr>
          <w:rFonts w:hint="eastAsia" w:ascii="仿宋_GB2312" w:eastAsia="仿宋_GB2312"/>
          <w:b w:val="0"/>
          <w:bCs w:val="0"/>
          <w:color w:val="000000" w:themeColor="text1"/>
          <w:kern w:val="21"/>
          <w:sz w:val="32"/>
          <w:szCs w:val="32"/>
          <w14:textFill>
            <w14:solidFill>
              <w14:schemeClr w14:val="tx1"/>
            </w14:solidFill>
          </w14:textFill>
        </w:rPr>
        <w:t>。</w:t>
      </w:r>
    </w:p>
    <w:p>
      <w:pPr>
        <w:pStyle w:val="3"/>
        <w:spacing w:after="0" w:line="540" w:lineRule="exact"/>
        <w:ind w:firstLine="640" w:firstLineChars="200"/>
        <w:rPr>
          <w:rFonts w:eastAsia="黑体" w:cs="Times New Roman"/>
          <w:b w:val="0"/>
          <w:bCs w:val="0"/>
          <w:color w:val="000000" w:themeColor="text1"/>
          <w:kern w:val="21"/>
          <w:sz w:val="32"/>
          <w:szCs w:val="32"/>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七、</w:t>
      </w:r>
      <w:r>
        <w:rPr>
          <w:rFonts w:hint="eastAsia" w:eastAsia="黑体" w:cs="黑体"/>
          <w:b w:val="0"/>
          <w:bCs w:val="0"/>
          <w:color w:val="000000" w:themeColor="text1"/>
          <w:kern w:val="21"/>
          <w:sz w:val="32"/>
          <w:szCs w:val="32"/>
          <w14:textFill>
            <w14:solidFill>
              <w14:schemeClr w14:val="tx1"/>
            </w14:solidFill>
          </w14:textFill>
        </w:rPr>
        <w:t>聚焦聚力平安创建，在共筑快乐平安乐平上求提升</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全面落实国家安全战略，强化“大平安”理念，切实把安全发展贯彻于全市经济社会发展各领域全过程，建设更高质量更高水平的平安乐平。</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21</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加强国家安全能力建设。</w:t>
      </w:r>
      <w:r>
        <w:rPr>
          <w:rFonts w:hint="eastAsia" w:ascii="仿宋_GB2312" w:hAnsi="Tahoma" w:eastAsia="仿宋_GB2312"/>
          <w:b w:val="0"/>
          <w:bCs w:val="0"/>
          <w:color w:val="000000" w:themeColor="text1"/>
          <w:kern w:val="21"/>
          <w:sz w:val="32"/>
          <w:szCs w:val="32"/>
          <w14:textFill>
            <w14:solidFill>
              <w14:schemeClr w14:val="tx1"/>
            </w14:solidFill>
          </w14:textFill>
        </w:rPr>
        <w:t>坚决维护集中统一、高效权威的国家安全领导体制，把维护国家政治安全特别是政权安全、制度安全放在第一位，严密防范和严厉打击敌对势力渗透、破坏、颠覆、分裂活动。</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强化“大安全”意识。推动国家安全宣传教育进校园、进村居，着力增强市民国家安全意识，巩固国家安全人民防线。加强意识形态阵地建设和管理，提升</w:t>
      </w:r>
      <w:r>
        <w:rPr>
          <w:rFonts w:ascii="仿宋_GB2312" w:hAnsi="Tahoma" w:eastAsia="仿宋_GB2312"/>
          <w:b w:val="0"/>
          <w:bCs w:val="0"/>
          <w:color w:val="000000" w:themeColor="text1"/>
          <w:kern w:val="21"/>
          <w:sz w:val="32"/>
          <w:szCs w:val="32"/>
          <w14:textFill>
            <w14:solidFill>
              <w14:schemeClr w14:val="tx1"/>
            </w14:solidFill>
          </w14:textFill>
        </w:rPr>
        <w:t>网络安全保障体系和能力建设，旗帜鲜明反对和抵制错误思潮</w:t>
      </w:r>
      <w:r>
        <w:rPr>
          <w:rFonts w:hint="eastAsia" w:ascii="仿宋_GB2312" w:hAnsi="Tahoma"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强化“大安全”建管。全面加强网络安全、信息安全、数据安全保障体系和能力建设，维护重点领域安全，加强敏感单位的保密监管，维护国家核心秘密安全。大力支持国防和军队现代化建设，完善国防动员体系，加强现代人民防空建设，打造国防教育基地，持续做好双拥工作，巩固军政军民团结。</w:t>
      </w:r>
    </w:p>
    <w:p>
      <w:pPr>
        <w:spacing w:line="540" w:lineRule="exact"/>
        <w:ind w:firstLine="640" w:firstLineChars="200"/>
        <w:rPr>
          <w:rFonts w:ascii="Helvetica" w:hAnsi="Helvetica" w:eastAsia="Helvetica" w:cs="Helvetica"/>
          <w:b w:val="0"/>
          <w:bCs w:val="0"/>
          <w:color w:val="000000" w:themeColor="text1"/>
          <w:kern w:val="21"/>
          <w:sz w:val="28"/>
          <w:szCs w:val="28"/>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22.积极维护经济安全。</w:t>
      </w:r>
      <w:r>
        <w:rPr>
          <w:rFonts w:ascii="仿宋_GB2312" w:hAnsi="Tahoma" w:eastAsia="仿宋_GB2312"/>
          <w:b w:val="0"/>
          <w:bCs w:val="0"/>
          <w:color w:val="000000" w:themeColor="text1"/>
          <w:kern w:val="21"/>
          <w:sz w:val="32"/>
          <w:szCs w:val="32"/>
          <w14:textFill>
            <w14:solidFill>
              <w14:schemeClr w14:val="tx1"/>
            </w14:solidFill>
          </w14:textFill>
        </w:rPr>
        <w:t>加强经济安全风险预警、防控机制和能力建设，实现重要产业、基础设施、战略资源等关键领域安全可控</w:t>
      </w:r>
      <w:r>
        <w:rPr>
          <w:rFonts w:hint="eastAsia" w:ascii="仿宋_GB2312" w:hAnsi="Tahoma" w:eastAsia="仿宋_GB2312"/>
          <w:b w:val="0"/>
          <w:bCs w:val="0"/>
          <w:color w:val="000000" w:themeColor="text1"/>
          <w:kern w:val="21"/>
          <w:sz w:val="32"/>
          <w:szCs w:val="32"/>
          <w14:textFill>
            <w14:solidFill>
              <w14:schemeClr w14:val="tx1"/>
            </w14:solidFill>
          </w14:textFill>
        </w:rPr>
        <w:t>，织密织牢风险监测“天罗地网”。</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严防金融风险。坚决守住不发生区域性系统性经济金融风险的底线，强化政银企联动，坚持标本兼治、疏堵并举，引导资金“脱虚向实”，更好服务实体经济发展。</w:t>
      </w:r>
      <w:r>
        <w:rPr>
          <w:rFonts w:ascii="仿宋_GB2312" w:hAnsi="Tahoma" w:eastAsia="仿宋_GB2312"/>
          <w:b w:val="0"/>
          <w:bCs w:val="0"/>
          <w:color w:val="000000" w:themeColor="text1"/>
          <w:kern w:val="21"/>
          <w:sz w:val="32"/>
          <w:szCs w:val="32"/>
          <w14:textFill>
            <w14:solidFill>
              <w14:schemeClr w14:val="tx1"/>
            </w14:solidFill>
          </w14:textFill>
        </w:rPr>
        <w:t>切实加强风险识别和防范，</w:t>
      </w:r>
      <w:r>
        <w:rPr>
          <w:rFonts w:hint="eastAsia" w:ascii="仿宋_GB2312" w:hAnsi="Tahoma" w:eastAsia="仿宋_GB2312"/>
          <w:b w:val="0"/>
          <w:bCs w:val="0"/>
          <w:color w:val="000000" w:themeColor="text1"/>
          <w:kern w:val="21"/>
          <w:sz w:val="32"/>
          <w:szCs w:val="32"/>
          <w14:textFill>
            <w14:solidFill>
              <w14:schemeClr w14:val="tx1"/>
            </w14:solidFill>
          </w14:textFill>
        </w:rPr>
        <w:t>加大不良贷款处置力度，加强企业信用债违约、P2P网络借贷风险点整治。坚决打击非法集资，对金融活动违法违规行为实行“零容忍”。</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严防债务风险。继续抓好政府债务管理，确保政府公共财政安全。扎实推进“楼盘问题”等历史遗留问题化解工作，保持房地产市场的健康稳定。充分发挥金融杠杆作用，让金融“活水”更好地浇灌实体经济之树。</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严防能源风险。</w:t>
      </w:r>
      <w:r>
        <w:rPr>
          <w:rFonts w:ascii="仿宋_GB2312" w:hAnsi="Tahoma" w:eastAsia="仿宋_GB2312"/>
          <w:b w:val="0"/>
          <w:bCs w:val="0"/>
          <w:color w:val="000000" w:themeColor="text1"/>
          <w:kern w:val="21"/>
          <w:sz w:val="32"/>
          <w:szCs w:val="32"/>
          <w14:textFill>
            <w14:solidFill>
              <w14:schemeClr w14:val="tx1"/>
            </w14:solidFill>
          </w14:textFill>
        </w:rPr>
        <w:t>稳定粮食种植面积和粮食产量，保障稻谷、生猪、蔬菜、油料等重要农产品的有效安全供给，筑牢粮食安全底线。坚持</w:t>
      </w:r>
      <w:r>
        <w:rPr>
          <w:rFonts w:hint="eastAsia" w:ascii="仿宋_GB2312" w:hAnsi="Tahoma" w:eastAsia="仿宋_GB2312"/>
          <w:b w:val="0"/>
          <w:bCs w:val="0"/>
          <w:color w:val="000000" w:themeColor="text1"/>
          <w:kern w:val="21"/>
          <w:sz w:val="32"/>
          <w:szCs w:val="32"/>
          <w14:textFill>
            <w14:solidFill>
              <w14:schemeClr w14:val="tx1"/>
            </w14:solidFill>
          </w14:textFill>
        </w:rPr>
        <w:t>“</w:t>
      </w:r>
      <w:r>
        <w:rPr>
          <w:rFonts w:ascii="仿宋_GB2312" w:hAnsi="Tahoma" w:eastAsia="仿宋_GB2312"/>
          <w:b w:val="0"/>
          <w:bCs w:val="0"/>
          <w:color w:val="000000" w:themeColor="text1"/>
          <w:kern w:val="21"/>
          <w:sz w:val="32"/>
          <w:szCs w:val="32"/>
          <w14:textFill>
            <w14:solidFill>
              <w14:schemeClr w14:val="tx1"/>
            </w14:solidFill>
          </w14:textFill>
        </w:rPr>
        <w:t>内优外引</w:t>
      </w:r>
      <w:r>
        <w:rPr>
          <w:rFonts w:hint="eastAsia" w:ascii="仿宋_GB2312" w:hAnsi="Tahoma" w:eastAsia="仿宋_GB2312"/>
          <w:b w:val="0"/>
          <w:bCs w:val="0"/>
          <w:color w:val="000000" w:themeColor="text1"/>
          <w:kern w:val="21"/>
          <w:sz w:val="32"/>
          <w:szCs w:val="32"/>
          <w14:textFill>
            <w14:solidFill>
              <w14:schemeClr w14:val="tx1"/>
            </w14:solidFill>
          </w14:textFill>
        </w:rPr>
        <w:t>”</w:t>
      </w:r>
      <w:r>
        <w:rPr>
          <w:rFonts w:ascii="仿宋_GB2312" w:hAnsi="Tahoma" w:eastAsia="仿宋_GB2312"/>
          <w:b w:val="0"/>
          <w:bCs w:val="0"/>
          <w:color w:val="000000" w:themeColor="text1"/>
          <w:kern w:val="21"/>
          <w:sz w:val="32"/>
          <w:szCs w:val="32"/>
          <w14:textFill>
            <w14:solidFill>
              <w14:schemeClr w14:val="tx1"/>
            </w14:solidFill>
          </w14:textFill>
        </w:rPr>
        <w:t>，增强能源保供能力。完善责任体系，维护水利、电力、供水、油气、交通、通信、网络、金融等重要基础设施安全。</w:t>
      </w:r>
    </w:p>
    <w:p>
      <w:pPr>
        <w:spacing w:line="540" w:lineRule="exact"/>
        <w:ind w:firstLine="640" w:firstLineChars="200"/>
        <w:rPr>
          <w:rFonts w:ascii="黑体" w:hAnsi="黑体" w:eastAsia="黑体" w:cs="Calibri"/>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23.保障人民生命安全。</w:t>
      </w:r>
      <w:r>
        <w:rPr>
          <w:rFonts w:hint="eastAsia" w:ascii="仿宋_GB2312" w:hAnsi="Tahoma" w:eastAsia="仿宋_GB2312"/>
          <w:b w:val="0"/>
          <w:bCs w:val="0"/>
          <w:color w:val="000000" w:themeColor="text1"/>
          <w:kern w:val="21"/>
          <w:sz w:val="32"/>
          <w:szCs w:val="32"/>
          <w14:textFill>
            <w14:solidFill>
              <w14:schemeClr w14:val="tx1"/>
            </w14:solidFill>
          </w14:textFill>
        </w:rPr>
        <w:t>坚持人民至上、生命至上，把保护人民生命安全摆在首位，全面提高公共安全保障能力</w:t>
      </w:r>
      <w:r>
        <w:rPr>
          <w:rFonts w:hint="eastAsia" w:ascii="仿宋_GB2312" w:hAnsi="仿宋_GB2312" w:eastAsia="仿宋_GB2312" w:cs="仿宋_GB2312"/>
          <w:b w:val="0"/>
          <w:bCs w:val="0"/>
          <w:color w:val="000000"/>
          <w:sz w:val="32"/>
          <w:szCs w:val="32"/>
          <w:shd w:val="clear" w:color="auto" w:fill="FFFFFF"/>
        </w:rPr>
        <w:t>及自救互救能力</w:t>
      </w:r>
      <w:r>
        <w:rPr>
          <w:rFonts w:hint="eastAsia" w:ascii="仿宋_GB2312" w:hAnsi="Tahoma"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落实安全生产责任制。建立公共安全隐患排查和预防控制体系，加强安全生产监管执法，有效遏制危险化学品、矿山、建筑施工、交通等领域重特大安全事故。</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强化生物安全保护。提高食品药品等关系人民健康产品和服务的安全保障水平。提升洪涝干旱、气象灾害、森林火灾自然灾害防御工程标准，加快病险水库除险加固。</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完善应急管理体系。加快构建政府、企业、第三方等多方联动的应急物资储备体系，支持蓝天救援等社会救援力量发展，全面提升防灾、减灾、抗灾、救灾能力。</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24.维护社会和谐稳定。</w:t>
      </w:r>
      <w:r>
        <w:rPr>
          <w:rFonts w:hint="eastAsia" w:ascii="仿宋_GB2312" w:hAnsi="Tahoma" w:eastAsia="仿宋_GB2312"/>
          <w:b w:val="0"/>
          <w:bCs w:val="0"/>
          <w:color w:val="000000" w:themeColor="text1"/>
          <w:kern w:val="21"/>
          <w:sz w:val="32"/>
          <w:szCs w:val="32"/>
          <w14:textFill>
            <w14:solidFill>
              <w14:schemeClr w14:val="tx1"/>
            </w14:solidFill>
          </w14:textFill>
        </w:rPr>
        <w:t>推动</w:t>
      </w:r>
      <w:r>
        <w:rPr>
          <w:rFonts w:ascii="仿宋_GB2312" w:hAnsi="Tahoma" w:eastAsia="仿宋_GB2312"/>
          <w:b w:val="0"/>
          <w:bCs w:val="0"/>
          <w:color w:val="000000" w:themeColor="text1"/>
          <w:kern w:val="21"/>
          <w:sz w:val="32"/>
          <w:szCs w:val="32"/>
          <w14:textFill>
            <w14:solidFill>
              <w14:schemeClr w14:val="tx1"/>
            </w14:solidFill>
          </w14:textFill>
        </w:rPr>
        <w:t>新时代</w:t>
      </w:r>
      <w:r>
        <w:rPr>
          <w:rFonts w:hint="eastAsia" w:ascii="仿宋_GB2312" w:hAnsi="Tahoma" w:eastAsia="仿宋_GB2312"/>
          <w:b w:val="0"/>
          <w:bCs w:val="0"/>
          <w:color w:val="000000" w:themeColor="text1"/>
          <w:kern w:val="21"/>
          <w:sz w:val="32"/>
          <w:szCs w:val="32"/>
          <w14:textFill>
            <w14:solidFill>
              <w14:schemeClr w14:val="tx1"/>
            </w14:solidFill>
          </w14:textFill>
        </w:rPr>
        <w:t>“</w:t>
      </w:r>
      <w:r>
        <w:rPr>
          <w:rFonts w:ascii="仿宋_GB2312" w:hAnsi="Tahoma" w:eastAsia="仿宋_GB2312"/>
          <w:b w:val="0"/>
          <w:bCs w:val="0"/>
          <w:color w:val="000000" w:themeColor="text1"/>
          <w:kern w:val="21"/>
          <w:sz w:val="32"/>
          <w:szCs w:val="32"/>
          <w14:textFill>
            <w14:solidFill>
              <w14:schemeClr w14:val="tx1"/>
            </w14:solidFill>
          </w14:textFill>
        </w:rPr>
        <w:t>枫桥经验</w:t>
      </w:r>
      <w:r>
        <w:rPr>
          <w:rFonts w:hint="eastAsia" w:ascii="仿宋_GB2312" w:hAnsi="Tahoma" w:eastAsia="仿宋_GB2312"/>
          <w:b w:val="0"/>
          <w:bCs w:val="0"/>
          <w:color w:val="000000" w:themeColor="text1"/>
          <w:kern w:val="21"/>
          <w:sz w:val="32"/>
          <w:szCs w:val="32"/>
          <w14:textFill>
            <w14:solidFill>
              <w14:schemeClr w14:val="tx1"/>
            </w14:solidFill>
          </w14:textFill>
        </w:rPr>
        <w:t>”本土化</w:t>
      </w:r>
      <w:r>
        <w:rPr>
          <w:rFonts w:ascii="仿宋_GB2312" w:hAnsi="Tahoma" w:eastAsia="仿宋_GB2312"/>
          <w:b w:val="0"/>
          <w:bCs w:val="0"/>
          <w:color w:val="000000" w:themeColor="text1"/>
          <w:kern w:val="21"/>
          <w:sz w:val="32"/>
          <w:szCs w:val="32"/>
          <w14:textFill>
            <w14:solidFill>
              <w14:schemeClr w14:val="tx1"/>
            </w14:solidFill>
          </w14:textFill>
        </w:rPr>
        <w:t>，</w:t>
      </w:r>
      <w:r>
        <w:rPr>
          <w:rFonts w:hint="eastAsia" w:ascii="仿宋_GB2312" w:hAnsi="Tahoma" w:eastAsia="仿宋_GB2312"/>
          <w:b w:val="0"/>
          <w:bCs w:val="0"/>
          <w:color w:val="000000" w:themeColor="text1"/>
          <w:kern w:val="21"/>
          <w:sz w:val="32"/>
          <w:szCs w:val="32"/>
          <w14:textFill>
            <w14:solidFill>
              <w14:schemeClr w14:val="tx1"/>
            </w14:solidFill>
          </w14:textFill>
        </w:rPr>
        <w:t>畅通和规范群众诉求表达、利益协调、权益保障通道，维护社会和谐稳定。</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完善信访制度。严格落实领导干部接访下访包案化解信访矛盾纠纷制度，建立信访工作与调解、仲裁、行政裁决、行政复议等高效衔接机制，探索律师调解机制，构建</w:t>
      </w:r>
      <w:r>
        <w:rPr>
          <w:rFonts w:ascii="仿宋_GB2312" w:hAnsi="Tahoma" w:eastAsia="仿宋_GB2312"/>
          <w:b w:val="0"/>
          <w:bCs w:val="0"/>
          <w:color w:val="000000" w:themeColor="text1"/>
          <w:kern w:val="21"/>
          <w:sz w:val="32"/>
          <w:szCs w:val="32"/>
          <w14:textFill>
            <w14:solidFill>
              <w14:schemeClr w14:val="tx1"/>
            </w14:solidFill>
          </w14:textFill>
        </w:rPr>
        <w:t>源头防控、排查梳理、纠纷化解、应急处置的社会矛盾综合治理机制</w:t>
      </w:r>
      <w:r>
        <w:rPr>
          <w:rFonts w:hint="eastAsia" w:ascii="仿宋_GB2312" w:hAnsi="Tahoma"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防控体系。健全社会心理服务体系和危机干预机制。坚持专群结合、群防群治，加强社会治安防控体系建设，强化“雪亮工程”建设和深度运用，推广“农村地网工程”“智能安防小区”“智慧安防单位”建设。</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完善整治机制。推进扫黑除恶长效常治，坚决打击盗抢骗、黄赌毒、食药环等突出违法犯罪，深入整治新型网络犯罪，及时整治重点领域和重点地区涉稳突出问题，保持社会和谐稳定</w:t>
      </w:r>
      <w:r>
        <w:rPr>
          <w:rFonts w:ascii="仿宋_GB2312" w:hAnsi="Tahoma" w:eastAsia="仿宋_GB2312"/>
          <w:b w:val="0"/>
          <w:bCs w:val="0"/>
          <w:color w:val="000000" w:themeColor="text1"/>
          <w:kern w:val="21"/>
          <w:sz w:val="32"/>
          <w:szCs w:val="32"/>
          <w14:textFill>
            <w14:solidFill>
              <w14:schemeClr w14:val="tx1"/>
            </w14:solidFill>
          </w14:textFill>
        </w:rPr>
        <w:t>。</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25.积极探索创新社会治理。</w:t>
      </w:r>
      <w:r>
        <w:rPr>
          <w:rFonts w:hint="eastAsia" w:ascii="仿宋_GB2312" w:eastAsia="仿宋_GB2312"/>
          <w:b w:val="0"/>
          <w:bCs w:val="0"/>
          <w:color w:val="000000" w:themeColor="text1"/>
          <w:kern w:val="21"/>
          <w:sz w:val="32"/>
          <w:szCs w:val="32"/>
          <w14:textFill>
            <w14:solidFill>
              <w14:schemeClr w14:val="tx1"/>
            </w14:solidFill>
          </w14:textFill>
        </w:rPr>
        <w:t>坚持</w:t>
      </w:r>
      <w:r>
        <w:rPr>
          <w:rFonts w:ascii="仿宋_GB2312" w:eastAsia="仿宋_GB2312"/>
          <w:b w:val="0"/>
          <w:bCs w:val="0"/>
          <w:color w:val="000000" w:themeColor="text1"/>
          <w:kern w:val="21"/>
          <w:sz w:val="32"/>
          <w:szCs w:val="32"/>
          <w14:textFill>
            <w14:solidFill>
              <w14:schemeClr w14:val="tx1"/>
            </w14:solidFill>
          </w14:textFill>
        </w:rPr>
        <w:t>共建共治共享社会治理格局的方向和路径</w:t>
      </w:r>
      <w:r>
        <w:rPr>
          <w:rFonts w:hint="eastAsia" w:ascii="仿宋_GB2312" w:eastAsia="仿宋_GB2312"/>
          <w:b w:val="0"/>
          <w:bCs w:val="0"/>
          <w:color w:val="000000" w:themeColor="text1"/>
          <w:kern w:val="21"/>
          <w:sz w:val="32"/>
          <w:szCs w:val="32"/>
          <w14:textFill>
            <w14:solidFill>
              <w14:schemeClr w14:val="tx1"/>
            </w14:solidFill>
          </w14:textFill>
        </w:rPr>
        <w:t>，结合乐平基层特色，逐步完善“党委领导、政府负责、民主协商、社会协同、公众参与、法治保障、科技支撑”的社会治理体系。</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持续推进治理力量下沉。</w:t>
      </w:r>
      <w:r>
        <w:rPr>
          <w:rFonts w:hint="eastAsia" w:ascii="仿宋_GB2312" w:eastAsia="仿宋_GB2312"/>
          <w:b w:val="0"/>
          <w:bCs w:val="0"/>
          <w:color w:val="000000" w:themeColor="text1"/>
          <w:kern w:val="21"/>
          <w:sz w:val="32"/>
          <w:szCs w:val="32"/>
          <w14:textFill>
            <w14:solidFill>
              <w14:schemeClr w14:val="tx1"/>
            </w14:solidFill>
          </w14:textFill>
        </w:rPr>
        <w:t>加快基层综治中心实体化建设，建设“</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多网合一”的社会治理网格</w:t>
      </w:r>
      <w:r>
        <w:rPr>
          <w:rFonts w:hint="eastAsia" w:ascii="仿宋_GB2312" w:hAnsi="仿宋_GB2312" w:eastAsia="仿宋_GB2312" w:cs="仿宋_GB2312"/>
          <w:b w:val="0"/>
          <w:bCs w:val="0"/>
          <w:color w:val="000000" w:themeColor="text1"/>
          <w:kern w:val="21"/>
          <w:sz w:val="32"/>
          <w:szCs w:val="32"/>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持续向基层放权赋能，促进社会治理和服务重心下移、力量下沉。出台更多实在举措，着力减轻村级组织等基层一线负担。</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探索完善基层治理体系。</w:t>
      </w:r>
      <w:r>
        <w:rPr>
          <w:rFonts w:hint="eastAsia" w:ascii="仿宋_GB2312" w:eastAsia="仿宋_GB2312"/>
          <w:b w:val="0"/>
          <w:bCs w:val="0"/>
          <w:color w:val="000000" w:themeColor="text1"/>
          <w:kern w:val="21"/>
          <w:sz w:val="32"/>
          <w:szCs w:val="32"/>
          <w14:textFill>
            <w14:solidFill>
              <w14:schemeClr w14:val="tx1"/>
            </w14:solidFill>
          </w14:textFill>
        </w:rPr>
        <w:t>完善基层民主协商制度，尊重基层首创，鼓励各地立足自身实际，探索发挥帮帮团等社会组织和“乡贤”在乡村治理和村民自治中的作用，进一步健全党建统领的自治、法治、德治相结合的城乡基层治理体系，打造“人人有责、人人尽责、人人享有”的基层治理共同体。</w:t>
      </w:r>
    </w:p>
    <w:p>
      <w:pPr>
        <w:spacing w:line="540" w:lineRule="exact"/>
        <w:ind w:firstLine="640" w:firstLineChars="200"/>
        <w:rPr>
          <w:rFonts w:ascii="楷体_GB2312" w:hAnsi="楷体_GB2312" w:eastAsia="黑体" w:cs="楷体_GB2312"/>
          <w:b w:val="0"/>
          <w:bCs w:val="0"/>
          <w:color w:val="000000" w:themeColor="text1"/>
          <w:kern w:val="21"/>
          <w:sz w:val="32"/>
          <w:szCs w:val="32"/>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八</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着力构建现代产业体系，在开启高质量跨越式发展上作表率</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坚持把发展经济着力点放在实体经济上，深入推进“腾笼换鸟、凤凰涅槃”，着力构建具有乐平特色的支柱</w:t>
      </w:r>
      <w:r>
        <w:rPr>
          <w:rFonts w:hint="eastAsia" w:ascii="仿宋_GB2312" w:hAnsi="Tahoma" w:eastAsia="仿宋_GB2312"/>
          <w:b w:val="0"/>
          <w:bCs w:val="0"/>
          <w:color w:val="000000" w:themeColor="text1"/>
          <w:kern w:val="21"/>
          <w:sz w:val="32"/>
          <w:szCs w:val="32"/>
          <w:lang w:val="en-US" w:eastAsia="zh-CN"/>
          <w14:textFill>
            <w14:solidFill>
              <w14:schemeClr w14:val="tx1"/>
            </w14:solidFill>
          </w14:textFill>
        </w:rPr>
        <w:t>特色</w:t>
      </w:r>
      <w:r>
        <w:rPr>
          <w:rFonts w:hint="eastAsia" w:ascii="仿宋_GB2312" w:hAnsi="Tahoma" w:eastAsia="仿宋_GB2312"/>
          <w:b w:val="0"/>
          <w:bCs w:val="0"/>
          <w:color w:val="000000" w:themeColor="text1"/>
          <w:kern w:val="21"/>
          <w:sz w:val="32"/>
          <w:szCs w:val="32"/>
          <w14:textFill>
            <w14:solidFill>
              <w14:schemeClr w14:val="tx1"/>
            </w14:solidFill>
          </w14:textFill>
        </w:rPr>
        <w:t>产业体系，推进产业基础高级化、产业链现代化。</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26.</w:t>
      </w:r>
      <w:r>
        <w:rPr>
          <w:rFonts w:hint="eastAsia" w:ascii="楷体_GB2312" w:hAnsi="楷体_GB2312" w:eastAsia="楷体_GB2312" w:cs="楷体_GB2312"/>
          <w:b w:val="0"/>
          <w:bCs w:val="0"/>
          <w:color w:val="000000" w:themeColor="text1"/>
          <w:kern w:val="21"/>
          <w:sz w:val="32"/>
          <w:szCs w:val="32"/>
          <w14:textFill>
            <w14:solidFill>
              <w14:schemeClr w14:val="tx1"/>
            </w14:solidFill>
          </w14:textFill>
        </w:rPr>
        <w:t>健全完善产业链条。</w:t>
      </w:r>
      <w:r>
        <w:rPr>
          <w:rFonts w:hint="eastAsia" w:ascii="仿宋_GB2312" w:hAnsi="Tahoma" w:eastAsia="仿宋_GB2312"/>
          <w:b w:val="0"/>
          <w:bCs w:val="0"/>
          <w:color w:val="000000" w:themeColor="text1"/>
          <w:kern w:val="21"/>
          <w:sz w:val="32"/>
          <w:szCs w:val="32"/>
          <w14:textFill>
            <w14:solidFill>
              <w14:schemeClr w14:val="tx1"/>
            </w14:solidFill>
          </w14:textFill>
        </w:rPr>
        <w:t>实施铸链强链引链补链工程，加速淘汰落后产能，推动传统产业高端化、绿色化，提升产业链、供应链现代化水平，不断提高乐平制造核心产业竞争力。</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实施基础再造工程。增强大中小企业、内外贸配套协作各环节协同发展，着力补齐</w:t>
      </w:r>
      <w:r>
        <w:rPr>
          <w:rFonts w:hint="eastAsia" w:ascii="仿宋_GB2312" w:hAnsi="Tahoma" w:eastAsia="仿宋_GB2312"/>
          <w:b w:val="0"/>
          <w:bCs w:val="0"/>
          <w:color w:val="FF0000"/>
          <w:kern w:val="21"/>
          <w:sz w:val="32"/>
          <w:szCs w:val="32"/>
        </w:rPr>
        <w:t>支柱特色</w:t>
      </w:r>
      <w:r>
        <w:rPr>
          <w:rFonts w:hint="eastAsia" w:ascii="仿宋_GB2312" w:hAnsi="Tahoma" w:eastAsia="仿宋_GB2312"/>
          <w:b w:val="0"/>
          <w:bCs w:val="0"/>
          <w:color w:val="000000" w:themeColor="text1"/>
          <w:kern w:val="21"/>
          <w:sz w:val="32"/>
          <w:szCs w:val="32"/>
          <w14:textFill>
            <w14:solidFill>
              <w14:schemeClr w14:val="tx1"/>
            </w14:solidFill>
          </w14:textFill>
        </w:rPr>
        <w:t>产业的链条短板，精准打通产业链“堵点”，补上产业链“断点”，不断扩展、延伸、完善产业链，提升产业关联度，保持制造业比重基本稳定。</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实施产业升级工程。实行“五个一”工作模式，开展企业梯次培育行动，力争培育更多的省级“专业化小巨人”、国家级“单项冠军”、国家级“专精特新”小巨人企业，形成三百亿级、一百亿级和五十亿级产业梯次发展格局，推进全市优势产业迈向“微笑曲线”中高端。</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14:textFill>
            <w14:solidFill>
              <w14:schemeClr w14:val="tx1"/>
            </w14:solidFill>
          </w14:textFill>
        </w:rPr>
        <w:t>27.再造乐平制造辉煌。</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坚持工业强市理念，</w:t>
      </w:r>
      <w:r>
        <w:rPr>
          <w:rFonts w:hint="eastAsia" w:ascii="仿宋_GB2312" w:hAnsi="Tahoma" w:eastAsia="仿宋_GB2312"/>
          <w:b w:val="0"/>
          <w:bCs w:val="0"/>
          <w:color w:val="000000" w:themeColor="text1"/>
          <w:kern w:val="21"/>
          <w:sz w:val="32"/>
          <w:szCs w:val="32"/>
          <w14:textFill>
            <w14:solidFill>
              <w14:schemeClr w14:val="tx1"/>
            </w14:solidFill>
          </w14:textFill>
        </w:rPr>
        <w:t>实施工业倍增三年行动计划，实行集群发展、创新发展、融合发展，持续做大做强景德镇工业发展平台，积极推进乐平工业园扩区调区，加快构建“一区两园”新格局，聚力打造国家级千亿精细化工高新技术产业园，让“乐平创造”更加辉煌。</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做强首位产业。聚力精细化工，全力推进主导产业集群，支持优质产品扩大市场份额，</w:t>
      </w:r>
      <w:r>
        <w:rPr>
          <w:rFonts w:hint="eastAsia" w:ascii="仿宋" w:hAnsi="仿宋" w:eastAsia="仿宋" w:cs="仿宋"/>
          <w:b w:val="0"/>
          <w:bCs w:val="0"/>
          <w:color w:val="000000" w:themeColor="text1"/>
          <w:kern w:val="21"/>
          <w:sz w:val="32"/>
          <w:szCs w:val="32"/>
          <w14:textFill>
            <w14:solidFill>
              <w14:schemeClr w14:val="tx1"/>
            </w14:solidFill>
          </w14:textFill>
        </w:rPr>
        <w:t>打造世界最大最全系列的维生素产业园，</w:t>
      </w:r>
      <w:r>
        <w:rPr>
          <w:rFonts w:hint="eastAsia" w:ascii="仿宋_GB2312" w:hAnsi="Tahoma" w:eastAsia="仿宋_GB2312"/>
          <w:b w:val="0"/>
          <w:bCs w:val="0"/>
          <w:color w:val="000000" w:themeColor="text1"/>
          <w:kern w:val="21"/>
          <w:sz w:val="32"/>
          <w:szCs w:val="32"/>
          <w14:textFill>
            <w14:solidFill>
              <w14:schemeClr w14:val="tx1"/>
            </w14:solidFill>
          </w14:textFill>
        </w:rPr>
        <w:t>打造更多行业“单打冠军”，发展工业循环经济，带动形成产业规模效应和集聚效应，</w:t>
      </w:r>
      <w:r>
        <w:rPr>
          <w:rFonts w:hint="eastAsia" w:ascii="仿宋" w:hAnsi="仿宋" w:eastAsia="仿宋" w:cs="仿宋"/>
          <w:b w:val="0"/>
          <w:bCs w:val="0"/>
          <w:color w:val="000000" w:themeColor="text1"/>
          <w:kern w:val="21"/>
          <w:sz w:val="32"/>
          <w:szCs w:val="32"/>
          <w14:textFill>
            <w14:solidFill>
              <w14:schemeClr w14:val="tx1"/>
            </w14:solidFill>
          </w14:textFill>
        </w:rPr>
        <w:t>使精细化工产业链真正成为拉动经济发展的坚硬铁链。</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做大优势产业。聚力生物医药，加快院士工作站和江西省维生素重点实验室等平台建设，巩固和扩大生产优势。构建具有国际影响力的多层次生物医药产业集群，</w:t>
      </w:r>
      <w:r>
        <w:rPr>
          <w:rFonts w:hint="eastAsia" w:ascii="仿宋" w:hAnsi="仿宋" w:eastAsia="仿宋" w:cs="仿宋"/>
          <w:b w:val="0"/>
          <w:bCs w:val="0"/>
          <w:color w:val="000000" w:themeColor="text1"/>
          <w:kern w:val="21"/>
          <w:sz w:val="32"/>
          <w:szCs w:val="32"/>
          <w14:textFill>
            <w14:solidFill>
              <w14:schemeClr w14:val="tx1"/>
            </w14:solidFill>
          </w14:textFill>
        </w:rPr>
        <w:t>打造全球最大的硅烷偶联剂供应商、全国重要的医药中间体供应中心、全国有影响的生物医药产业高地，</w:t>
      </w:r>
      <w:r>
        <w:rPr>
          <w:rFonts w:hint="eastAsia" w:ascii="仿宋_GB2312" w:hAnsi="Tahoma" w:eastAsia="仿宋_GB2312"/>
          <w:b w:val="0"/>
          <w:bCs w:val="0"/>
          <w:color w:val="000000" w:themeColor="text1"/>
          <w:kern w:val="21"/>
          <w:sz w:val="32"/>
          <w:szCs w:val="32"/>
          <w14:textFill>
            <w14:solidFill>
              <w14:schemeClr w14:val="tx1"/>
            </w14:solidFill>
          </w14:textFill>
        </w:rPr>
        <w:t>牢牢掌握行业话语权。</w:t>
      </w:r>
    </w:p>
    <w:p>
      <w:pPr>
        <w:spacing w:line="540" w:lineRule="exact"/>
        <w:ind w:firstLine="664"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spacing w:val="6"/>
          <w:kern w:val="21"/>
          <w:sz w:val="32"/>
          <w:szCs w:val="32"/>
          <w14:textFill>
            <w14:solidFill>
              <w14:schemeClr w14:val="tx1"/>
            </w14:solidFill>
          </w14:textFill>
        </w:rPr>
        <w:t>做优龙头企业。聚力打造一批工业经济龙头企业，提升企业核心竞争力，促成3家企业主板上市。紧跟战略新兴产业和未来产业发展趋势，抢抓前沿领域发展制高点，培育未来发展新引擎。</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14:textFill>
            <w14:solidFill>
              <w14:schemeClr w14:val="tx1"/>
            </w14:solidFill>
          </w14:textFill>
        </w:rPr>
        <w:t>28.布局新兴数字产业。</w:t>
      </w:r>
      <w:r>
        <w:rPr>
          <w:rFonts w:hint="eastAsia" w:ascii="仿宋_GB2312" w:hAnsi="Tahoma" w:eastAsia="仿宋_GB2312"/>
          <w:b w:val="0"/>
          <w:bCs w:val="0"/>
          <w:color w:val="000000" w:themeColor="text1"/>
          <w:kern w:val="21"/>
          <w:sz w:val="32"/>
          <w:szCs w:val="32"/>
          <w14:textFill>
            <w14:solidFill>
              <w14:schemeClr w14:val="tx1"/>
            </w14:solidFill>
          </w14:textFill>
        </w:rPr>
        <w:t>落实数字经济一号工程，深化数字经济和实体经济融合发展，加快数字产业化、产业数字化，积极抢抓5G、人工智能等新型基础设施建设机遇，提升乐平传统制造业数字化水平。</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加速壮大数字新产业。积极实施“上云用数赋智”行动，大力发展工业互联网，推进企业上云上平台，推动制造模式升级。重点依托泰迪智能科技等新兴业态，推动乐平人工智能产业发展。支持建设高水平直播和短视频基地，积极培育“微经济”。促进平台经济、共享经济健康发展。</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加速培育数字新模式。抓好数字乐平、数字政府建设，发展在线教育、互联网医疗、线上办公等线上服务新业态，全面提升公共服务、社会治理等数字化、智能化水平。</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14:textFill>
            <w14:solidFill>
              <w14:schemeClr w14:val="tx1"/>
            </w14:solidFill>
          </w14:textFill>
        </w:rPr>
        <w:t>29.推进服务业扩容提质。</w:t>
      </w:r>
      <w:r>
        <w:rPr>
          <w:rFonts w:hint="eastAsia" w:ascii="仿宋_GB2312" w:hAnsi="Tahoma" w:eastAsia="仿宋_GB2312"/>
          <w:b w:val="0"/>
          <w:bCs w:val="0"/>
          <w:color w:val="000000" w:themeColor="text1"/>
          <w:kern w:val="21"/>
          <w:sz w:val="32"/>
          <w:szCs w:val="32"/>
          <w14:textFill>
            <w14:solidFill>
              <w14:schemeClr w14:val="tx1"/>
            </w14:solidFill>
          </w14:textFill>
        </w:rPr>
        <w:t>积极顺应消费升级新趋势，科学编制《乐平市商业发展规划》，推动形成层次分明、布局合理、功能齐全、业态先进、特色鲜明的区域商贸体系，大力发展乐平现代服务业。</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现代服务业功能。推动生产性服务业向专业化和价值链高端延伸，大力培育现代物流等服务业，加快现代服务业同先进制造业、现代农业融合发展。开展电子商务进农村综合示范建设，积极实施“乐平特色产品网上行”活动，加快推进服务业数字化。</w:t>
      </w:r>
    </w:p>
    <w:p>
      <w:pPr>
        <w:spacing w:line="540" w:lineRule="exact"/>
        <w:ind w:firstLine="640" w:firstLineChars="200"/>
        <w:rPr>
          <w:rFonts w:ascii="仿宋_GB2312" w:hAnsi="Tahoma"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提升现代服务业贡献。推动生活性服务业向高品质和多样化升级，支持各类市场主体参与服务供给，推进服务业标准化、品牌化建设。</w:t>
      </w:r>
      <w:r>
        <w:rPr>
          <w:rFonts w:hint="eastAsia" w:ascii="仿宋_GB2312" w:hAnsi="Tahoma" w:eastAsia="仿宋_GB2312"/>
          <w:b w:val="0"/>
          <w:bCs w:val="0"/>
          <w:color w:val="FF0000"/>
          <w:kern w:val="21"/>
          <w:sz w:val="32"/>
          <w:szCs w:val="32"/>
        </w:rPr>
        <w:t>有序规划和</w:t>
      </w:r>
      <w:r>
        <w:rPr>
          <w:rFonts w:hint="eastAsia" w:ascii="仿宋_GB2312" w:hAnsi="Tahoma" w:eastAsia="仿宋_GB2312"/>
          <w:b w:val="0"/>
          <w:bCs w:val="0"/>
          <w:color w:val="000000" w:themeColor="text1"/>
          <w:kern w:val="21"/>
          <w:sz w:val="32"/>
          <w:szCs w:val="32"/>
          <w14:textFill>
            <w14:solidFill>
              <w14:schemeClr w14:val="tx1"/>
            </w14:solidFill>
          </w14:textFill>
        </w:rPr>
        <w:t>推进城市综合体、</w:t>
      </w:r>
      <w:r>
        <w:rPr>
          <w:rFonts w:hint="eastAsia" w:ascii="仿宋_GB2312" w:hAnsi="Tahoma" w:eastAsia="仿宋_GB2312"/>
          <w:b w:val="0"/>
          <w:bCs w:val="0"/>
          <w:color w:val="FF0000"/>
          <w:kern w:val="21"/>
          <w:sz w:val="32"/>
          <w:szCs w:val="32"/>
        </w:rPr>
        <w:t>特色街</w:t>
      </w:r>
      <w:r>
        <w:rPr>
          <w:rFonts w:hint="eastAsia" w:ascii="仿宋_GB2312" w:hAnsi="Tahoma" w:eastAsia="仿宋_GB2312"/>
          <w:b w:val="0"/>
          <w:bCs w:val="0"/>
          <w:color w:val="000000" w:themeColor="text1"/>
          <w:kern w:val="21"/>
          <w:sz w:val="32"/>
          <w:szCs w:val="32"/>
          <w14:textFill>
            <w14:solidFill>
              <w14:schemeClr w14:val="tx1"/>
            </w14:solidFill>
          </w14:textFill>
        </w:rPr>
        <w:t>、现代物流中心等项目建设，积极培育健康、养老、育幼、文旅、体育、家政、物业、寄递等服务业，提升服务业对经济增长的贡献率。</w:t>
      </w:r>
    </w:p>
    <w:p>
      <w:pPr>
        <w:spacing w:line="540" w:lineRule="exact"/>
        <w:ind w:firstLine="640" w:firstLineChars="200"/>
        <w:rPr>
          <w:rFonts w:ascii="楷体_GB2312" w:hAnsi="楷体_GB2312" w:eastAsia="黑体" w:cs="楷体_GB2312"/>
          <w:b w:val="0"/>
          <w:bCs w:val="0"/>
          <w:color w:val="000000" w:themeColor="text1"/>
          <w:kern w:val="21"/>
          <w:sz w:val="32"/>
          <w:szCs w:val="32"/>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九</w:t>
      </w:r>
      <w:r>
        <w:rPr>
          <w:rFonts w:eastAsia="黑体"/>
          <w:b w:val="0"/>
          <w:bCs w:val="0"/>
          <w:color w:val="000000" w:themeColor="text1"/>
          <w:kern w:val="21"/>
          <w:sz w:val="32"/>
          <w:szCs w:val="32"/>
          <w14:textFill>
            <w14:solidFill>
              <w14:schemeClr w14:val="tx1"/>
            </w14:solidFill>
          </w14:textFill>
        </w:rPr>
        <w:t>、</w:t>
      </w:r>
      <w:r>
        <w:rPr>
          <w:rFonts w:hint="eastAsia" w:eastAsia="黑体"/>
          <w:b w:val="0"/>
          <w:bCs w:val="0"/>
          <w:color w:val="000000" w:themeColor="text1"/>
          <w:kern w:val="21"/>
          <w:sz w:val="32"/>
          <w:szCs w:val="32"/>
          <w14:textFill>
            <w14:solidFill>
              <w14:schemeClr w14:val="tx1"/>
            </w14:solidFill>
          </w14:textFill>
        </w:rPr>
        <w:t>着力推进改革攻坚，在优化营商环境上作表率</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ascii="仿宋_GB2312" w:eastAsia="仿宋_GB2312"/>
          <w:b w:val="0"/>
          <w:bCs w:val="0"/>
          <w:color w:val="000000" w:themeColor="text1"/>
          <w:kern w:val="21"/>
          <w:sz w:val="32"/>
          <w:szCs w:val="32"/>
          <w14:textFill>
            <w14:solidFill>
              <w14:schemeClr w14:val="tx1"/>
            </w14:solidFill>
          </w14:textFill>
        </w:rPr>
        <w:t>坚持把</w:t>
      </w:r>
      <w:r>
        <w:rPr>
          <w:rFonts w:hint="eastAsia" w:ascii="仿宋_GB2312" w:eastAsia="仿宋_GB2312"/>
          <w:b w:val="0"/>
          <w:bCs w:val="0"/>
          <w:color w:val="000000" w:themeColor="text1"/>
          <w:kern w:val="21"/>
          <w:sz w:val="32"/>
          <w:szCs w:val="32"/>
          <w14:textFill>
            <w14:solidFill>
              <w14:schemeClr w14:val="tx1"/>
            </w14:solidFill>
          </w14:textFill>
        </w:rPr>
        <w:t>全面</w:t>
      </w:r>
      <w:r>
        <w:rPr>
          <w:rFonts w:ascii="仿宋_GB2312" w:eastAsia="仿宋_GB2312"/>
          <w:b w:val="0"/>
          <w:bCs w:val="0"/>
          <w:color w:val="000000" w:themeColor="text1"/>
          <w:kern w:val="21"/>
          <w:sz w:val="32"/>
          <w:szCs w:val="32"/>
          <w14:textFill>
            <w14:solidFill>
              <w14:schemeClr w14:val="tx1"/>
            </w14:solidFill>
          </w14:textFill>
        </w:rPr>
        <w:t>深化改革作为推动</w:t>
      </w:r>
      <w:r>
        <w:rPr>
          <w:rFonts w:hint="eastAsia" w:ascii="仿宋_GB2312" w:eastAsia="仿宋_GB2312"/>
          <w:b w:val="0"/>
          <w:bCs w:val="0"/>
          <w:color w:val="000000" w:themeColor="text1"/>
          <w:kern w:val="21"/>
          <w:sz w:val="32"/>
          <w:szCs w:val="32"/>
          <w14:textFill>
            <w14:solidFill>
              <w14:schemeClr w14:val="tx1"/>
            </w14:solidFill>
          </w14:textFill>
        </w:rPr>
        <w:t>乐平经济社会</w:t>
      </w:r>
      <w:r>
        <w:rPr>
          <w:rFonts w:ascii="仿宋_GB2312" w:eastAsia="仿宋_GB2312"/>
          <w:b w:val="0"/>
          <w:bCs w:val="0"/>
          <w:color w:val="000000" w:themeColor="text1"/>
          <w:kern w:val="21"/>
          <w:sz w:val="32"/>
          <w:szCs w:val="32"/>
          <w14:textFill>
            <w14:solidFill>
              <w14:schemeClr w14:val="tx1"/>
            </w14:solidFill>
          </w14:textFill>
        </w:rPr>
        <w:t>发展的</w:t>
      </w:r>
      <w:r>
        <w:rPr>
          <w:rFonts w:hint="eastAsia" w:ascii="仿宋_GB2312" w:eastAsia="仿宋_GB2312"/>
          <w:b w:val="0"/>
          <w:bCs w:val="0"/>
          <w:color w:val="000000" w:themeColor="text1"/>
          <w:kern w:val="21"/>
          <w:sz w:val="32"/>
          <w:szCs w:val="32"/>
          <w14:textFill>
            <w14:solidFill>
              <w14:schemeClr w14:val="tx1"/>
            </w14:solidFill>
          </w14:textFill>
        </w:rPr>
        <w:t>“关键一招”</w:t>
      </w:r>
      <w:r>
        <w:rPr>
          <w:rFonts w:ascii="仿宋_GB2312" w:eastAsia="仿宋_GB2312"/>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用好“四个一”改革推进机制，</w:t>
      </w:r>
      <w:r>
        <w:rPr>
          <w:rFonts w:ascii="仿宋_GB2312" w:eastAsia="仿宋_GB2312"/>
          <w:b w:val="0"/>
          <w:bCs w:val="0"/>
          <w:color w:val="000000" w:themeColor="text1"/>
          <w:kern w:val="21"/>
          <w:sz w:val="32"/>
          <w:szCs w:val="32"/>
          <w14:textFill>
            <w14:solidFill>
              <w14:schemeClr w14:val="tx1"/>
            </w14:solidFill>
          </w14:textFill>
        </w:rPr>
        <w:t>加快破除深层次体制机制障碍，充分发挥市场在资源配置中的决定性作用，更好发挥政府作用，</w:t>
      </w:r>
      <w:r>
        <w:rPr>
          <w:rFonts w:hint="eastAsia" w:ascii="仿宋_GB2312" w:eastAsia="仿宋_GB2312"/>
          <w:b w:val="0"/>
          <w:bCs w:val="0"/>
          <w:color w:val="000000" w:themeColor="text1"/>
          <w:kern w:val="21"/>
          <w:sz w:val="32"/>
          <w:szCs w:val="32"/>
          <w14:textFill>
            <w14:solidFill>
              <w14:schemeClr w14:val="tx1"/>
            </w14:solidFill>
          </w14:textFill>
        </w:rPr>
        <w:t>营造一流营商环境</w:t>
      </w:r>
      <w:r>
        <w:rPr>
          <w:rFonts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14:textFill>
            <w14:solidFill>
              <w14:schemeClr w14:val="tx1"/>
            </w14:solidFill>
          </w14:textFill>
        </w:rPr>
        <w:t>30.激发各类市场主体活力。</w:t>
      </w:r>
      <w:r>
        <w:rPr>
          <w:rFonts w:ascii="仿宋_GB2312" w:eastAsia="仿宋_GB2312"/>
          <w:b w:val="0"/>
          <w:bCs w:val="0"/>
          <w:color w:val="000000" w:themeColor="text1"/>
          <w:kern w:val="21"/>
          <w:sz w:val="32"/>
          <w:szCs w:val="32"/>
          <w14:textFill>
            <w14:solidFill>
              <w14:schemeClr w14:val="tx1"/>
            </w14:solidFill>
          </w14:textFill>
        </w:rPr>
        <w:t>坚持</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两个毫不动摇</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，营造各类市场主体公平竞争的市场环境、政策环境、法治环境。</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完善宏观调节体系。</w:t>
      </w:r>
      <w:r>
        <w:rPr>
          <w:rFonts w:ascii="仿宋_GB2312" w:eastAsia="仿宋_GB2312"/>
          <w:b w:val="0"/>
          <w:bCs w:val="0"/>
          <w:color w:val="000000" w:themeColor="text1"/>
          <w:kern w:val="21"/>
          <w:sz w:val="32"/>
          <w:szCs w:val="32"/>
          <w14:textFill>
            <w14:solidFill>
              <w14:schemeClr w14:val="tx1"/>
            </w14:solidFill>
          </w14:textFill>
        </w:rPr>
        <w:t>加强财政资源统筹，深化投融资体制改革，提高直接融资比重，大力发展普惠金融，构建金融有效支持实体经济体制机制。深化国有资本投资、运营公司改革，健全以管资本为主的国有资产监管体制，促进国有资产保值增值。</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完善实体激励机制。</w:t>
      </w:r>
      <w:r>
        <w:rPr>
          <w:rFonts w:ascii="仿宋_GB2312" w:eastAsia="仿宋_GB2312"/>
          <w:b w:val="0"/>
          <w:bCs w:val="0"/>
          <w:color w:val="000000" w:themeColor="text1"/>
          <w:kern w:val="21"/>
          <w:sz w:val="32"/>
          <w:szCs w:val="32"/>
          <w14:textFill>
            <w14:solidFill>
              <w14:schemeClr w14:val="tx1"/>
            </w14:solidFill>
          </w14:textFill>
        </w:rPr>
        <w:t>全面落实放宽民营企业市场准入的政策措施，完善促进中小微企业和个体工商户发展的政策体系，加大税费、融资等优惠政策落实力度。实施好民法典等法律法规，依法平等保护民营企业和企业家权益。</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完善企业扶助机制。</w:t>
      </w:r>
      <w:r>
        <w:rPr>
          <w:rFonts w:hint="eastAsia" w:ascii="仿宋_GB2312" w:eastAsia="仿宋_GB2312"/>
          <w:b w:val="0"/>
          <w:bCs w:val="0"/>
          <w:color w:val="000000" w:themeColor="text1"/>
          <w:kern w:val="21"/>
          <w:sz w:val="32"/>
          <w:szCs w:val="32"/>
          <w14:textFill>
            <w14:solidFill>
              <w14:schemeClr w14:val="tx1"/>
            </w14:solidFill>
          </w14:textFill>
        </w:rPr>
        <w:t>深入实施企业上市“映山红行动”，提高直接融资比重。</w:t>
      </w:r>
      <w:r>
        <w:rPr>
          <w:rFonts w:ascii="仿宋_GB2312" w:eastAsia="仿宋_GB2312"/>
          <w:b w:val="0"/>
          <w:bCs w:val="0"/>
          <w:color w:val="000000" w:themeColor="text1"/>
          <w:kern w:val="21"/>
          <w:sz w:val="32"/>
          <w:szCs w:val="32"/>
          <w14:textFill>
            <w14:solidFill>
              <w14:schemeClr w14:val="tx1"/>
            </w14:solidFill>
          </w14:textFill>
        </w:rPr>
        <w:t>构建亲清政商关系，完善领导包联机制，搭建政企沟通平台，建立健全政商交往正负面清单，促进非公有制经济健康发展和非公有制经济人士健康成长。</w:t>
      </w:r>
    </w:p>
    <w:p>
      <w:pPr>
        <w:spacing w:line="540" w:lineRule="exact"/>
        <w:ind w:firstLine="640" w:firstLineChars="200"/>
        <w:rPr>
          <w:rFonts w:ascii="楷体_GB2312" w:hAnsi="黑体" w:eastAsia="楷体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31</w:t>
      </w:r>
      <w:r>
        <w:rPr>
          <w:rFonts w:ascii="楷体_GB2312" w:hAnsi="黑体" w:eastAsia="楷体_GB2312"/>
          <w:b w:val="0"/>
          <w:bCs w:val="0"/>
          <w:color w:val="000000" w:themeColor="text1"/>
          <w:kern w:val="21"/>
          <w:sz w:val="32"/>
          <w:szCs w:val="32"/>
          <w14:textFill>
            <w14:solidFill>
              <w14:schemeClr w14:val="tx1"/>
            </w14:solidFill>
          </w14:textFill>
        </w:rPr>
        <w:t>.</w:t>
      </w:r>
      <w:r>
        <w:rPr>
          <w:rFonts w:hint="eastAsia" w:ascii="楷体_GB2312" w:hAnsi="黑体" w:eastAsia="楷体_GB2312"/>
          <w:b w:val="0"/>
          <w:bCs w:val="0"/>
          <w:color w:val="000000" w:themeColor="text1"/>
          <w:kern w:val="21"/>
          <w:sz w:val="32"/>
          <w:szCs w:val="32"/>
          <w14:textFill>
            <w14:solidFill>
              <w14:schemeClr w14:val="tx1"/>
            </w14:solidFill>
          </w14:textFill>
        </w:rPr>
        <w:t>建设高标准市场体系。</w:t>
      </w:r>
      <w:r>
        <w:rPr>
          <w:rFonts w:hint="eastAsia" w:ascii="仿宋_GB2312" w:eastAsia="仿宋_GB2312"/>
          <w:b w:val="0"/>
          <w:bCs w:val="0"/>
          <w:color w:val="000000" w:themeColor="text1"/>
          <w:kern w:val="21"/>
          <w:sz w:val="32"/>
          <w:szCs w:val="32"/>
          <w14:textFill>
            <w14:solidFill>
              <w14:schemeClr w14:val="tx1"/>
            </w14:solidFill>
          </w14:textFill>
        </w:rPr>
        <w:t>实施高标准市场体系建设行动，健全产权执法司法保护制度，依法平等保护各类市场主体。</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完善要素市场。</w:t>
      </w:r>
      <w:r>
        <w:rPr>
          <w:rFonts w:hint="eastAsia" w:ascii="仿宋_GB2312" w:eastAsia="仿宋_GB2312"/>
          <w:b w:val="0"/>
          <w:bCs w:val="0"/>
          <w:color w:val="000000" w:themeColor="text1"/>
          <w:kern w:val="21"/>
          <w:sz w:val="32"/>
          <w:szCs w:val="32"/>
          <w14:textFill>
            <w14:solidFill>
              <w14:schemeClr w14:val="tx1"/>
            </w14:solidFill>
          </w14:textFill>
        </w:rPr>
        <w:t>建立健全统一开放的要素市场，创新土地、劳动力、资本、技术、数据、能源、环境容量等要素市场化配置方式，完善要素交易规则和服务体系。加强工业用地保障，深化“亩均论英雄”改革。</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完善市场监管。</w:t>
      </w:r>
      <w:r>
        <w:rPr>
          <w:rFonts w:hint="eastAsia" w:ascii="仿宋_GB2312" w:eastAsia="仿宋_GB2312"/>
          <w:b w:val="0"/>
          <w:bCs w:val="0"/>
          <w:color w:val="000000" w:themeColor="text1"/>
          <w:kern w:val="21"/>
          <w:sz w:val="32"/>
          <w:szCs w:val="32"/>
          <w14:textFill>
            <w14:solidFill>
              <w14:schemeClr w14:val="tx1"/>
            </w14:solidFill>
          </w14:textFill>
        </w:rPr>
        <w:t>落实全国统一的市场准入负面清单制度，进一步清理各种显性和隐性壁垒，推动“非禁即入”普遍落实。健全公平竞争审查机制，加强反垄断和反不正当竞争执法司法，提升市场综合监管能力。</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32</w:t>
      </w:r>
      <w:r>
        <w:rPr>
          <w:rFonts w:ascii="楷体_GB2312" w:hAnsi="黑体" w:eastAsia="楷体_GB2312"/>
          <w:b w:val="0"/>
          <w:bCs w:val="0"/>
          <w:color w:val="000000" w:themeColor="text1"/>
          <w:kern w:val="21"/>
          <w:sz w:val="32"/>
          <w:szCs w:val="32"/>
          <w14:textFill>
            <w14:solidFill>
              <w14:schemeClr w14:val="tx1"/>
            </w14:solidFill>
          </w14:textFill>
        </w:rPr>
        <w:t>.</w:t>
      </w:r>
      <w:r>
        <w:rPr>
          <w:rFonts w:hint="eastAsia" w:ascii="楷体_GB2312" w:hAnsi="黑体" w:eastAsia="楷体_GB2312"/>
          <w:b w:val="0"/>
          <w:bCs w:val="0"/>
          <w:color w:val="000000" w:themeColor="text1"/>
          <w:kern w:val="21"/>
          <w:sz w:val="32"/>
          <w:szCs w:val="32"/>
          <w14:textFill>
            <w14:solidFill>
              <w14:schemeClr w14:val="tx1"/>
            </w14:solidFill>
          </w14:textFill>
        </w:rPr>
        <w:t>营造一流营商环境。</w:t>
      </w:r>
      <w:r>
        <w:rPr>
          <w:rFonts w:hint="eastAsia" w:ascii="仿宋_GB2312" w:eastAsia="仿宋_GB2312"/>
          <w:b w:val="0"/>
          <w:bCs w:val="0"/>
          <w:color w:val="000000" w:themeColor="text1"/>
          <w:kern w:val="21"/>
          <w:sz w:val="32"/>
          <w:szCs w:val="32"/>
          <w14:textFill>
            <w14:solidFill>
              <w14:schemeClr w14:val="tx1"/>
            </w14:solidFill>
          </w14:textFill>
        </w:rPr>
        <w:t>深入推进“五型”政府建设，坚持“刀刃向内”持续转变政府职能、提升服务效能，让企业和群众办事更加方便、顺畅、爽心。</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让审批时间更快。</w:t>
      </w:r>
      <w:r>
        <w:rPr>
          <w:rFonts w:hint="eastAsia" w:ascii="仿宋_GB2312" w:eastAsia="仿宋_GB2312"/>
          <w:b w:val="0"/>
          <w:bCs w:val="0"/>
          <w:color w:val="000000" w:themeColor="text1"/>
          <w:kern w:val="21"/>
          <w:sz w:val="32"/>
          <w:szCs w:val="32"/>
          <w14:textFill>
            <w14:solidFill>
              <w14:schemeClr w14:val="tx1"/>
            </w14:solidFill>
          </w14:textFill>
        </w:rPr>
        <w:t>大力开展优化提升营商环境十大行动，</w:t>
      </w:r>
      <w:r>
        <w:rPr>
          <w:rFonts w:ascii="仿宋_GB2312" w:eastAsia="仿宋_GB2312"/>
          <w:b w:val="0"/>
          <w:bCs w:val="0"/>
          <w:color w:val="000000" w:themeColor="text1"/>
          <w:kern w:val="21"/>
          <w:sz w:val="32"/>
          <w:szCs w:val="32"/>
          <w14:textFill>
            <w14:solidFill>
              <w14:schemeClr w14:val="tx1"/>
            </w14:solidFill>
          </w14:textFill>
        </w:rPr>
        <w:t>深化</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放管服</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改革，实施涉企经营许可事项清单管理，分类推进审批制度改革，实施审批流程深度再造，推广</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最多跑一次</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，压缩审批时间。</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让服务效率更高。</w:t>
      </w:r>
      <w:r>
        <w:rPr>
          <w:rFonts w:hint="eastAsia" w:ascii="仿宋_GB2312" w:eastAsia="仿宋_GB2312"/>
          <w:b w:val="0"/>
          <w:bCs w:val="0"/>
          <w:color w:val="000000" w:themeColor="text1"/>
          <w:kern w:val="21"/>
          <w:sz w:val="32"/>
          <w:szCs w:val="32"/>
          <w14:textFill>
            <w14:solidFill>
              <w14:schemeClr w14:val="tx1"/>
            </w14:solidFill>
          </w14:textFill>
        </w:rPr>
        <w:t>加快数字乐平建设，扩大基础公共信息数据有序开放，拓展提升“赣服通”服务功能，加强“赣政通”平台建设，加快实现“一次不跑”“一网通办”“一链办理”。</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让服务水准更好。</w:t>
      </w:r>
      <w:r>
        <w:rPr>
          <w:rFonts w:ascii="仿宋_GB2312" w:eastAsia="仿宋_GB2312"/>
          <w:b w:val="0"/>
          <w:bCs w:val="0"/>
          <w:color w:val="000000" w:themeColor="text1"/>
          <w:kern w:val="21"/>
          <w:sz w:val="32"/>
          <w:szCs w:val="32"/>
          <w14:textFill>
            <w14:solidFill>
              <w14:schemeClr w14:val="tx1"/>
            </w14:solidFill>
          </w14:textFill>
        </w:rPr>
        <w:t>全面推行</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双随机一公开</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，加强事中事后监管，对新产业新业态实行包容审慎监管。</w:t>
      </w:r>
      <w:r>
        <w:rPr>
          <w:rFonts w:hint="eastAsia" w:ascii="仿宋_GB2312" w:eastAsia="仿宋_GB2312"/>
          <w:b w:val="0"/>
          <w:bCs w:val="0"/>
          <w:color w:val="000000" w:themeColor="text1"/>
          <w:kern w:val="21"/>
          <w:sz w:val="32"/>
          <w:szCs w:val="32"/>
          <w14:textFill>
            <w14:solidFill>
              <w14:schemeClr w14:val="tx1"/>
            </w14:solidFill>
          </w14:textFill>
        </w:rPr>
        <w:t>完善政府失信责任追究制度。深化行业协会、商会和中介机构改革。</w:t>
      </w:r>
    </w:p>
    <w:p>
      <w:pPr>
        <w:pStyle w:val="3"/>
        <w:spacing w:after="0" w:line="540" w:lineRule="exact"/>
        <w:ind w:firstLine="640" w:firstLineChars="200"/>
        <w:rPr>
          <w:rFonts w:ascii="仿宋_GB2312" w:hAnsi="仿宋_GB2312" w:eastAsia="仿宋_GB2312" w:cs="仿宋_GB2312"/>
          <w:b w:val="0"/>
          <w:bCs w:val="0"/>
          <w:color w:val="000000" w:themeColor="text1"/>
          <w:kern w:val="21"/>
          <w:sz w:val="32"/>
          <w:szCs w:val="32"/>
          <w:shd w:val="clear" w:color="auto" w:fill="FFFFFF"/>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十</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着力打造生态样板，在生态文明建设上作表率</w:t>
      </w:r>
    </w:p>
    <w:p>
      <w:pPr>
        <w:spacing w:line="540" w:lineRule="exact"/>
        <w:ind w:firstLine="640" w:firstLineChars="200"/>
        <w:rPr>
          <w:rFonts w:ascii="黑体" w:hAnsi="黑体" w:eastAsia="黑体"/>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坚持“绿水青山就是金山银山”理念，深入实施可持续发展战略，建设人与自然和谐共生的现代化</w:t>
      </w:r>
      <w:r>
        <w:rPr>
          <w:rFonts w:hint="eastAsia" w:ascii="黑体" w:hAnsi="黑体" w:eastAsia="黑体"/>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促进经济社会发展全面绿色转型，打造赣东北地区最绿的“生态明珠”。</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33</w:t>
      </w:r>
      <w:r>
        <w:rPr>
          <w:rFonts w:ascii="楷体_GB2312" w:hAnsi="黑体" w:eastAsia="楷体_GB2312"/>
          <w:b w:val="0"/>
          <w:bCs w:val="0"/>
          <w:color w:val="000000" w:themeColor="text1"/>
          <w:kern w:val="21"/>
          <w:sz w:val="32"/>
          <w:szCs w:val="32"/>
          <w14:textFill>
            <w14:solidFill>
              <w14:schemeClr w14:val="tx1"/>
            </w14:solidFill>
          </w14:textFill>
        </w:rPr>
        <w:t>.</w:t>
      </w:r>
      <w:r>
        <w:rPr>
          <w:rFonts w:hint="eastAsia" w:ascii="楷体_GB2312" w:hAnsi="黑体" w:eastAsia="楷体_GB2312"/>
          <w:b w:val="0"/>
          <w:bCs w:val="0"/>
          <w:color w:val="000000" w:themeColor="text1"/>
          <w:kern w:val="21"/>
          <w:sz w:val="32"/>
          <w:szCs w:val="32"/>
          <w14:textFill>
            <w14:solidFill>
              <w14:schemeClr w14:val="tx1"/>
            </w14:solidFill>
          </w14:textFill>
        </w:rPr>
        <w:t>持续推进环境保护。</w:t>
      </w:r>
      <w:r>
        <w:rPr>
          <w:rFonts w:ascii="仿宋_GB2312" w:eastAsia="仿宋_GB2312"/>
          <w:b w:val="0"/>
          <w:bCs w:val="0"/>
          <w:color w:val="000000" w:themeColor="text1"/>
          <w:kern w:val="21"/>
          <w:sz w:val="32"/>
          <w:szCs w:val="32"/>
          <w14:textFill>
            <w14:solidFill>
              <w14:schemeClr w14:val="tx1"/>
            </w14:solidFill>
          </w14:textFill>
        </w:rPr>
        <w:t>深入打好蓝天、碧水、净土保卫战</w:t>
      </w:r>
      <w:r>
        <w:rPr>
          <w:rFonts w:hint="eastAsia" w:ascii="仿宋_GB2312" w:eastAsia="仿宋_GB2312"/>
          <w:b w:val="0"/>
          <w:bCs w:val="0"/>
          <w:color w:val="000000" w:themeColor="text1"/>
          <w:kern w:val="21"/>
          <w:sz w:val="32"/>
          <w:szCs w:val="32"/>
          <w14:textFill>
            <w14:solidFill>
              <w14:schemeClr w14:val="tx1"/>
            </w14:solidFill>
          </w14:textFill>
        </w:rPr>
        <w:t>，实施环境信息大数据一体化建设，扎实推进</w:t>
      </w:r>
      <w:r>
        <w:rPr>
          <w:rFonts w:ascii="仿宋_GB2312" w:eastAsia="仿宋_GB2312"/>
          <w:b w:val="0"/>
          <w:bCs w:val="0"/>
          <w:color w:val="000000" w:themeColor="text1"/>
          <w:kern w:val="21"/>
          <w:sz w:val="32"/>
          <w:szCs w:val="32"/>
          <w14:textFill>
            <w14:solidFill>
              <w14:schemeClr w14:val="tx1"/>
            </w14:solidFill>
          </w14:textFill>
        </w:rPr>
        <w:t>大气污染区域治理、水</w:t>
      </w:r>
      <w:r>
        <w:rPr>
          <w:rFonts w:ascii="仿宋_GB2312" w:eastAsia="仿宋_GB2312"/>
          <w:b w:val="0"/>
          <w:bCs w:val="0"/>
          <w:color w:val="000000" w:themeColor="text1"/>
          <w:spacing w:val="-6"/>
          <w:kern w:val="21"/>
          <w:sz w:val="32"/>
          <w:szCs w:val="32"/>
          <w14:textFill>
            <w14:solidFill>
              <w14:schemeClr w14:val="tx1"/>
            </w14:solidFill>
          </w14:textFill>
        </w:rPr>
        <w:t>污染流域治理、土壤污染属地治理，</w:t>
      </w:r>
      <w:r>
        <w:rPr>
          <w:rFonts w:hint="eastAsia" w:ascii="仿宋_GB2312" w:eastAsia="仿宋_GB2312"/>
          <w:b w:val="0"/>
          <w:bCs w:val="0"/>
          <w:color w:val="000000" w:themeColor="text1"/>
          <w:spacing w:val="-6"/>
          <w:kern w:val="21"/>
          <w:sz w:val="32"/>
          <w:szCs w:val="32"/>
          <w14:textFill>
            <w14:solidFill>
              <w14:schemeClr w14:val="tx1"/>
            </w14:solidFill>
          </w14:textFill>
        </w:rPr>
        <w:t>着力提升乐平生态环境质量。</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加强源头治理。</w:t>
      </w:r>
      <w:r>
        <w:rPr>
          <w:rFonts w:hint="eastAsia" w:ascii="仿宋_GB2312" w:eastAsia="仿宋_GB2312"/>
          <w:b w:val="0"/>
          <w:bCs w:val="0"/>
          <w:color w:val="000000" w:themeColor="text1"/>
          <w:kern w:val="21"/>
          <w:sz w:val="32"/>
          <w:szCs w:val="32"/>
          <w14:textFill>
            <w14:solidFill>
              <w14:schemeClr w14:val="tx1"/>
            </w14:solidFill>
          </w14:textFill>
        </w:rPr>
        <w:t>深入推进垃圾分类和减量化、资源化，加快废旧物资源循环利用。深入实施道路工地扬尘、餐饮油烟、秸秆焚烧专项治理，加强高能耗行业能耗管控，加大城区禁燃力度，基本消除重污染天气，全面改善大气环境质量，杜绝废气扰民。</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加强专项整治。</w:t>
      </w:r>
      <w:r>
        <w:rPr>
          <w:rFonts w:hint="eastAsia" w:ascii="仿宋_GB2312" w:eastAsia="仿宋_GB2312"/>
          <w:b w:val="0"/>
          <w:bCs w:val="0"/>
          <w:color w:val="000000" w:themeColor="text1"/>
          <w:kern w:val="21"/>
          <w:sz w:val="32"/>
          <w:szCs w:val="32"/>
          <w14:textFill>
            <w14:solidFill>
              <w14:schemeClr w14:val="tx1"/>
            </w14:solidFill>
          </w14:textFill>
        </w:rPr>
        <w:t>大力开展长江经济带“共抓大保护”攻坚行动，扎实开展乐安河全流域治理。强化工业园区废水集中治理和深度处理，抓好农业面源污染整治，加强共产主义水库等重要水源地和主要县界河断面水质监控，保护好“一河七水”。</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加强生态修复。</w:t>
      </w:r>
      <w:r>
        <w:rPr>
          <w:rFonts w:hint="eastAsia" w:ascii="仿宋_GB2312" w:eastAsia="仿宋_GB2312"/>
          <w:b w:val="0"/>
          <w:bCs w:val="0"/>
          <w:color w:val="000000" w:themeColor="text1"/>
          <w:kern w:val="21"/>
          <w:sz w:val="32"/>
          <w:szCs w:val="32"/>
          <w14:textFill>
            <w14:solidFill>
              <w14:schemeClr w14:val="tx1"/>
            </w14:solidFill>
          </w14:textFill>
        </w:rPr>
        <w:t>实施山水林田湖草生态系统保护与修复工程，推进全域土地综合整治，做好乐安河河道疏浚及沿河乡镇农田、废弃矿山等生态治理修复，深化国土绿化行动，打造更多森林乡村。</w:t>
      </w:r>
    </w:p>
    <w:p>
      <w:pPr>
        <w:pStyle w:val="7"/>
        <w:spacing w:line="540" w:lineRule="exact"/>
        <w:ind w:firstLine="640" w:firstLineChars="200"/>
        <w:jc w:val="both"/>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34.发展绿色生态产业。</w:t>
      </w:r>
      <w:r>
        <w:rPr>
          <w:rFonts w:hint="eastAsia" w:ascii="仿宋_GB2312" w:eastAsia="仿宋_GB2312"/>
          <w:b w:val="0"/>
          <w:bCs w:val="0"/>
          <w:color w:val="000000" w:themeColor="text1"/>
          <w:kern w:val="21"/>
          <w:sz w:val="32"/>
          <w:szCs w:val="32"/>
          <w14:textFill>
            <w14:solidFill>
              <w14:schemeClr w14:val="tx1"/>
            </w14:solidFill>
          </w14:textFill>
        </w:rPr>
        <w:t>扎实推进“无废城市”试点，大力推进经济生态化，发展生态工业、生态旅游、生态农业，拓展“两山”转化通道</w:t>
      </w:r>
      <w:r>
        <w:rPr>
          <w:rFonts w:hint="eastAsia" w:ascii="仿宋_GB2312" w:eastAsia="仿宋_GB2312" w:cstheme="minorBidi"/>
          <w:b w:val="0"/>
          <w:bCs w:val="0"/>
          <w:color w:val="000000" w:themeColor="text1"/>
          <w:kern w:val="21"/>
          <w:sz w:val="32"/>
          <w:szCs w:val="32"/>
          <w14:textFill>
            <w14:solidFill>
              <w14:schemeClr w14:val="tx1"/>
            </w14:solidFill>
          </w14:textFill>
        </w:rPr>
        <w:t>。</w:t>
      </w:r>
    </w:p>
    <w:p>
      <w:pPr>
        <w:pStyle w:val="7"/>
        <w:spacing w:line="540" w:lineRule="exact"/>
        <w:ind w:firstLine="640" w:firstLineChars="200"/>
        <w:jc w:val="both"/>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cstheme="minorBidi"/>
          <w:b w:val="0"/>
          <w:bCs w:val="0"/>
          <w:color w:val="000000" w:themeColor="text1"/>
          <w:kern w:val="21"/>
          <w:sz w:val="32"/>
          <w:szCs w:val="32"/>
          <w14:textFill>
            <w14:solidFill>
              <w14:schemeClr w14:val="tx1"/>
            </w14:solidFill>
          </w14:textFill>
        </w:rPr>
        <w:t>做大绿色产能。</w:t>
      </w:r>
      <w:r>
        <w:rPr>
          <w:rFonts w:hint="eastAsia" w:ascii="仿宋_GB2312" w:eastAsia="仿宋_GB2312"/>
          <w:b w:val="0"/>
          <w:bCs w:val="0"/>
          <w:color w:val="000000" w:themeColor="text1"/>
          <w:kern w:val="21"/>
          <w:sz w:val="32"/>
          <w:szCs w:val="32"/>
          <w14:textFill>
            <w14:solidFill>
              <w14:schemeClr w14:val="tx1"/>
            </w14:solidFill>
          </w14:textFill>
        </w:rPr>
        <w:t>持续压减淘汰落后和过剩产能，加快绿色技术创新，以乐平工业园区申报建设国家级绿色园区为引领，加快培育一批环保标杆企业。</w:t>
      </w:r>
      <w:r>
        <w:rPr>
          <w:rFonts w:ascii="仿宋_GB2312" w:eastAsia="仿宋_GB2312" w:cstheme="minorBidi"/>
          <w:b w:val="0"/>
          <w:bCs w:val="0"/>
          <w:color w:val="000000" w:themeColor="text1"/>
          <w:kern w:val="21"/>
          <w:sz w:val="32"/>
          <w:szCs w:val="32"/>
          <w14:textFill>
            <w14:solidFill>
              <w14:schemeClr w14:val="tx1"/>
            </w14:solidFill>
          </w14:textFill>
        </w:rPr>
        <w:t>充分依托绿色生态这个最大财富、最大优势、最大品牌，大力推动生态要素向生产要素、生态财富向物质财富转变。</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完善生态机制。</w:t>
      </w:r>
      <w:r>
        <w:rPr>
          <w:rFonts w:ascii="仿宋_GB2312" w:eastAsia="仿宋_GB2312"/>
          <w:b w:val="0"/>
          <w:bCs w:val="0"/>
          <w:color w:val="000000" w:themeColor="text1"/>
          <w:kern w:val="21"/>
          <w:sz w:val="32"/>
          <w:szCs w:val="32"/>
          <w14:textFill>
            <w14:solidFill>
              <w14:schemeClr w14:val="tx1"/>
            </w14:solidFill>
          </w14:textFill>
        </w:rPr>
        <w:t>推进自然资源资产统一确权登记和产权制度改革，建立生态产品价值核算体系，完善生态产品价值实现机制。</w:t>
      </w:r>
      <w:r>
        <w:rPr>
          <w:rFonts w:hint="eastAsia" w:ascii="仿宋_GB2312" w:eastAsia="仿宋_GB2312"/>
          <w:b w:val="0"/>
          <w:bCs w:val="0"/>
          <w:color w:val="000000" w:themeColor="text1"/>
          <w:kern w:val="21"/>
          <w:sz w:val="32"/>
          <w:szCs w:val="32"/>
          <w14:textFill>
            <w14:solidFill>
              <w14:schemeClr w14:val="tx1"/>
            </w14:solidFill>
          </w14:textFill>
        </w:rPr>
        <w:t>开展绿水青山就是金山银山综合改革试点，深化绿色金融改革，推行生态产品价值实现机制。构建绿色制造体系，发展绿色建筑，推进重点行业和重要领域绿色化改造，推进服务业绿色发展。大力发展循环经济，促进农村新型能源和循环农业发展，加快构建废旧物资循环利用体系。</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35</w:t>
      </w:r>
      <w:r>
        <w:rPr>
          <w:rFonts w:ascii="楷体_GB2312" w:hAnsi="黑体" w:eastAsia="楷体_GB2312"/>
          <w:b w:val="0"/>
          <w:bCs w:val="0"/>
          <w:color w:val="000000" w:themeColor="text1"/>
          <w:kern w:val="21"/>
          <w:sz w:val="32"/>
          <w:szCs w:val="32"/>
          <w14:textFill>
            <w14:solidFill>
              <w14:schemeClr w14:val="tx1"/>
            </w14:solidFill>
          </w14:textFill>
        </w:rPr>
        <w:t>.</w:t>
      </w:r>
      <w:r>
        <w:rPr>
          <w:rFonts w:hint="eastAsia" w:ascii="楷体_GB2312" w:hAnsi="黑体" w:eastAsia="楷体_GB2312"/>
          <w:b w:val="0"/>
          <w:bCs w:val="0"/>
          <w:color w:val="000000" w:themeColor="text1"/>
          <w:kern w:val="21"/>
          <w:sz w:val="32"/>
          <w:szCs w:val="32"/>
          <w14:textFill>
            <w14:solidFill>
              <w14:schemeClr w14:val="tx1"/>
            </w14:solidFill>
          </w14:textFill>
        </w:rPr>
        <w:t>健全生态制度体系。</w:t>
      </w:r>
      <w:r>
        <w:rPr>
          <w:rFonts w:hint="eastAsia" w:ascii="仿宋_GB2312" w:eastAsia="仿宋_GB2312"/>
          <w:b w:val="0"/>
          <w:bCs w:val="0"/>
          <w:color w:val="000000" w:themeColor="text1"/>
          <w:kern w:val="21"/>
          <w:sz w:val="32"/>
          <w:szCs w:val="32"/>
          <w14:textFill>
            <w14:solidFill>
              <w14:schemeClr w14:val="tx1"/>
            </w14:solidFill>
          </w14:textFill>
        </w:rPr>
        <w:t>实行最严格的生态环境保护制度，深入实施可持续发展战略，完善生态文明领域统筹协调机制，构建生态环境保护体系，促进经济社会发展全面绿色转型。</w:t>
      </w:r>
      <w:bookmarkStart w:id="27" w:name="_Hlk50988672"/>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提升生态文明制度水平。</w:t>
      </w:r>
      <w:r>
        <w:rPr>
          <w:rFonts w:hint="eastAsia" w:ascii="仿宋_GB2312" w:eastAsia="仿宋_GB2312"/>
          <w:b w:val="0"/>
          <w:bCs w:val="0"/>
          <w:color w:val="000000" w:themeColor="text1"/>
          <w:kern w:val="21"/>
          <w:sz w:val="32"/>
          <w:szCs w:val="32"/>
          <w14:textFill>
            <w14:solidFill>
              <w14:schemeClr w14:val="tx1"/>
            </w14:solidFill>
          </w14:textFill>
        </w:rPr>
        <w:t>全面落实“河长制、湖长制、林长制”，全面实行排污许可制，建立生态环境监测全过程控制制度。建立健全领导干部任期生态文明建设责任制度、自然资源资产离任审计制度和生态环境损害责任终身追究制，统筹划定落实“三区三线”。完善以绿色发展为导向的</w:t>
      </w:r>
      <w:bookmarkStart w:id="28" w:name="_Hlk50988705"/>
      <w:r>
        <w:rPr>
          <w:rFonts w:hint="eastAsia" w:ascii="仿宋_GB2312" w:eastAsia="仿宋_GB2312"/>
          <w:b w:val="0"/>
          <w:bCs w:val="0"/>
          <w:color w:val="000000" w:themeColor="text1"/>
          <w:kern w:val="21"/>
          <w:sz w:val="32"/>
          <w:szCs w:val="32"/>
          <w14:textFill>
            <w14:solidFill>
              <w14:schemeClr w14:val="tx1"/>
            </w14:solidFill>
          </w14:textFill>
        </w:rPr>
        <w:t>生态文明评价考核</w:t>
      </w:r>
      <w:bookmarkEnd w:id="28"/>
      <w:r>
        <w:rPr>
          <w:rFonts w:hint="eastAsia" w:ascii="仿宋_GB2312" w:eastAsia="仿宋_GB2312"/>
          <w:b w:val="0"/>
          <w:bCs w:val="0"/>
          <w:color w:val="000000" w:themeColor="text1"/>
          <w:kern w:val="21"/>
          <w:sz w:val="32"/>
          <w:szCs w:val="32"/>
          <w14:textFill>
            <w14:solidFill>
              <w14:schemeClr w14:val="tx1"/>
            </w14:solidFill>
          </w14:textFill>
        </w:rPr>
        <w:t>体系，加大考核体系中的生态指标权重，用“绿色指挥棒”引导走“绿色崛起路”。</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hAnsi="Tahoma" w:eastAsia="仿宋_GB2312"/>
          <w:b w:val="0"/>
          <w:bCs w:val="0"/>
          <w:color w:val="000000" w:themeColor="text1"/>
          <w:kern w:val="21"/>
          <w:sz w:val="32"/>
          <w:szCs w:val="32"/>
          <w14:textFill>
            <w14:solidFill>
              <w14:schemeClr w14:val="tx1"/>
            </w14:solidFill>
          </w14:textFill>
        </w:rPr>
        <w:t>大力推动绿色示范创建。深入</w:t>
      </w:r>
      <w:r>
        <w:rPr>
          <w:rFonts w:hint="eastAsia" w:ascii="仿宋_GB2312" w:eastAsia="仿宋_GB2312"/>
          <w:b w:val="0"/>
          <w:bCs w:val="0"/>
          <w:color w:val="000000" w:themeColor="text1"/>
          <w:kern w:val="21"/>
          <w:sz w:val="32"/>
          <w:szCs w:val="32"/>
          <w14:textFill>
            <w14:solidFill>
              <w14:schemeClr w14:val="tx1"/>
            </w14:solidFill>
          </w14:textFill>
        </w:rPr>
        <w:t>开展节约型机关、绿色社区、绿色商场、绿色建筑等生活创建行动</w:t>
      </w:r>
      <w:bookmarkEnd w:id="27"/>
      <w:r>
        <w:rPr>
          <w:rFonts w:hint="eastAsia" w:ascii="仿宋_GB2312" w:eastAsia="仿宋_GB2312"/>
          <w:b w:val="0"/>
          <w:bCs w:val="0"/>
          <w:color w:val="000000" w:themeColor="text1"/>
          <w:kern w:val="21"/>
          <w:sz w:val="32"/>
          <w:szCs w:val="32"/>
          <w14:textFill>
            <w14:solidFill>
              <w14:schemeClr w14:val="tx1"/>
            </w14:solidFill>
          </w14:textFill>
        </w:rPr>
        <w:t>，提升群众资源节约、生态环保意识，推动形成勤俭节约的社会风尚。</w:t>
      </w:r>
    </w:p>
    <w:p>
      <w:pPr>
        <w:pStyle w:val="3"/>
        <w:spacing w:after="0" w:line="540" w:lineRule="exact"/>
        <w:ind w:firstLine="640" w:firstLineChars="200"/>
        <w:rPr>
          <w:rFonts w:ascii="仿宋_GB2312" w:hAnsi="仿宋_GB2312" w:eastAsia="黑体" w:cs="仿宋_GB2312"/>
          <w:b w:val="0"/>
          <w:bCs w:val="0"/>
          <w:color w:val="000000" w:themeColor="text1"/>
          <w:kern w:val="21"/>
          <w:sz w:val="32"/>
          <w:szCs w:val="32"/>
          <w:shd w:val="clear" w:color="auto" w:fill="FFFFFF"/>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十一</w:t>
      </w:r>
      <w:r>
        <w:rPr>
          <w:rFonts w:eastAsia="黑体"/>
          <w:b w:val="0"/>
          <w:bCs w:val="0"/>
          <w:color w:val="000000" w:themeColor="text1"/>
          <w:kern w:val="21"/>
          <w:sz w:val="32"/>
          <w:szCs w:val="32"/>
          <w14:textFill>
            <w14:solidFill>
              <w14:schemeClr w14:val="tx1"/>
            </w14:solidFill>
          </w14:textFill>
        </w:rPr>
        <w:t>、</w:t>
      </w:r>
      <w:r>
        <w:rPr>
          <w:rFonts w:hint="eastAsia" w:eastAsia="黑体" w:cs="黑体"/>
          <w:b w:val="0"/>
          <w:bCs w:val="0"/>
          <w:color w:val="000000" w:themeColor="text1"/>
          <w:kern w:val="21"/>
          <w:sz w:val="32"/>
          <w:szCs w:val="32"/>
          <w14:textFill>
            <w14:solidFill>
              <w14:schemeClr w14:val="tx1"/>
            </w14:solidFill>
          </w14:textFill>
        </w:rPr>
        <w:t>着力践行人民至上，在增进人民福祉上作表率</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坚持把实现好、维护好、发展好最广大人民根本利益作为一切工作的出发点和落脚点，健全基本公共服务体系，完善共建共治共享的社会治理制度，扎实推动共同富裕，不断增强人民群众获得感、幸福感、安全感，促进人的全面发展和社会全面进步。</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36</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.提高人民收入水平</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落实和完善按要素分配政策机制，多渠道增加中低收入人群要素收入和城乡居民财产性收入。健全企业稳岗扶持政策体系。完善再分配调节机制和就业制度保障体系，构建和谐劳动关系，重视发挥慈善等第三次分配作用，</w:t>
      </w:r>
      <w:r>
        <w:rPr>
          <w:rFonts w:ascii="仿宋_GB2312" w:eastAsia="仿宋_GB2312"/>
          <w:b w:val="0"/>
          <w:bCs w:val="0"/>
          <w:color w:val="000000" w:themeColor="text1"/>
          <w:kern w:val="21"/>
          <w:sz w:val="32"/>
          <w:szCs w:val="32"/>
          <w14:textFill>
            <w14:solidFill>
              <w14:schemeClr w14:val="tx1"/>
            </w14:solidFill>
          </w14:textFill>
        </w:rPr>
        <w:t>探索通</w:t>
      </w:r>
      <w:r>
        <w:rPr>
          <w:rFonts w:ascii="仿宋_GB2312" w:eastAsia="仿宋_GB2312"/>
          <w:b w:val="0"/>
          <w:bCs w:val="0"/>
          <w:color w:val="000000" w:themeColor="text1"/>
          <w:spacing w:val="-6"/>
          <w:kern w:val="21"/>
          <w:sz w:val="32"/>
          <w:szCs w:val="32"/>
          <w14:textFill>
            <w14:solidFill>
              <w14:schemeClr w14:val="tx1"/>
            </w14:solidFill>
          </w14:textFill>
        </w:rPr>
        <w:t>过土地、资本等要素使用权、收益权增加中低收入群体要素收入。</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37.强化就业优先政策。</w:t>
      </w:r>
      <w:r>
        <w:rPr>
          <w:rFonts w:hint="eastAsia" w:ascii="仿宋_GB2312" w:eastAsia="仿宋_GB2312"/>
          <w:b w:val="0"/>
          <w:bCs w:val="0"/>
          <w:color w:val="000000" w:themeColor="text1"/>
          <w:kern w:val="21"/>
          <w:sz w:val="32"/>
          <w:szCs w:val="32"/>
          <w14:textFill>
            <w14:solidFill>
              <w14:schemeClr w14:val="tx1"/>
            </w14:solidFill>
          </w14:textFill>
        </w:rPr>
        <w:t>着力</w:t>
      </w:r>
      <w:r>
        <w:rPr>
          <w:rFonts w:ascii="仿宋_GB2312" w:eastAsia="仿宋_GB2312"/>
          <w:b w:val="0"/>
          <w:bCs w:val="0"/>
          <w:color w:val="000000" w:themeColor="text1"/>
          <w:kern w:val="21"/>
          <w:sz w:val="32"/>
          <w:szCs w:val="32"/>
          <w14:textFill>
            <w14:solidFill>
              <w14:schemeClr w14:val="tx1"/>
            </w14:solidFill>
          </w14:textFill>
        </w:rPr>
        <w:t>提升经济发展就业导向、就业容量和质量</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千方百计稳定和扩大就业</w:t>
      </w:r>
      <w:r>
        <w:rPr>
          <w:rFonts w:hint="eastAsia" w:ascii="仿宋_GB2312" w:eastAsia="仿宋_GB2312"/>
          <w:b w:val="0"/>
          <w:bCs w:val="0"/>
          <w:color w:val="000000" w:themeColor="text1"/>
          <w:kern w:val="21"/>
          <w:sz w:val="32"/>
          <w:szCs w:val="32"/>
          <w14:textFill>
            <w14:solidFill>
              <w14:schemeClr w14:val="tx1"/>
            </w14:solidFill>
          </w14:textFill>
        </w:rPr>
        <w:t>，创造更多高质量就业岗位。完善创业政策体系，提升创业服务水平，促进创业带动就业、多渠道灵活就业，支持和规范发展新就业形态。构建城乡均衡公共就业服务体系，</w:t>
      </w:r>
      <w:r>
        <w:rPr>
          <w:rFonts w:ascii="仿宋_GB2312" w:eastAsia="仿宋_GB2312"/>
          <w:b w:val="0"/>
          <w:bCs w:val="0"/>
          <w:color w:val="000000" w:themeColor="text1"/>
          <w:kern w:val="21"/>
          <w:sz w:val="32"/>
          <w:szCs w:val="32"/>
          <w14:textFill>
            <w14:solidFill>
              <w14:schemeClr w14:val="tx1"/>
            </w14:solidFill>
          </w14:textFill>
        </w:rPr>
        <w:t>完善高校毕业生、退役军人、</w:t>
      </w:r>
      <w:r>
        <w:rPr>
          <w:rFonts w:hint="eastAsia" w:ascii="仿宋_GB2312" w:eastAsia="仿宋_GB2312"/>
          <w:b w:val="0"/>
          <w:bCs w:val="0"/>
          <w:color w:val="000000" w:themeColor="text1"/>
          <w:kern w:val="21"/>
          <w:sz w:val="32"/>
          <w:szCs w:val="32"/>
          <w14:textFill>
            <w14:solidFill>
              <w14:schemeClr w14:val="tx1"/>
            </w14:solidFill>
          </w14:textFill>
        </w:rPr>
        <w:t>残疾人、</w:t>
      </w:r>
      <w:r>
        <w:rPr>
          <w:rFonts w:ascii="仿宋_GB2312" w:eastAsia="仿宋_GB2312"/>
          <w:b w:val="0"/>
          <w:bCs w:val="0"/>
          <w:color w:val="000000" w:themeColor="text1"/>
          <w:kern w:val="21"/>
          <w:sz w:val="32"/>
          <w:szCs w:val="32"/>
          <w14:textFill>
            <w14:solidFill>
              <w14:schemeClr w14:val="tx1"/>
            </w14:solidFill>
          </w14:textFill>
        </w:rPr>
        <w:t>农民工和城镇困难人员等重点群体就业支持体系，扩大公益性岗位安置</w:t>
      </w:r>
      <w:r>
        <w:rPr>
          <w:rFonts w:hint="eastAsia" w:ascii="仿宋_GB2312" w:eastAsia="仿宋_GB2312"/>
          <w:b w:val="0"/>
          <w:bCs w:val="0"/>
          <w:color w:val="000000" w:themeColor="text1"/>
          <w:kern w:val="21"/>
          <w:sz w:val="32"/>
          <w:szCs w:val="32"/>
          <w14:textFill>
            <w14:solidFill>
              <w14:schemeClr w14:val="tx1"/>
            </w14:solidFill>
          </w14:textFill>
        </w:rPr>
        <w:t>。</w:t>
      </w:r>
    </w:p>
    <w:p>
      <w:pPr>
        <w:pStyle w:val="7"/>
        <w:spacing w:line="540" w:lineRule="exact"/>
        <w:ind w:firstLine="640" w:firstLineChars="200"/>
        <w:jc w:val="both"/>
        <w:rPr>
          <w:rFonts w:ascii="仿宋_GB2312" w:eastAsia="仿宋_GB2312" w:cstheme="minorBidi"/>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38</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推进教育高质量发展。</w:t>
      </w:r>
      <w:r>
        <w:rPr>
          <w:rFonts w:ascii="仿宋_GB2312" w:eastAsia="仿宋_GB2312" w:cstheme="minorBidi"/>
          <w:b w:val="0"/>
          <w:bCs w:val="0"/>
          <w:color w:val="000000" w:themeColor="text1"/>
          <w:kern w:val="21"/>
          <w:sz w:val="32"/>
          <w:szCs w:val="32"/>
          <w14:textFill>
            <w14:solidFill>
              <w14:schemeClr w14:val="tx1"/>
            </w14:solidFill>
          </w14:textFill>
        </w:rPr>
        <w:t>全面贯彻党的教育方针，坚持优先发展教育事业，办好人民满意的教育。</w:t>
      </w:r>
    </w:p>
    <w:p>
      <w:pPr>
        <w:pStyle w:val="7"/>
        <w:spacing w:line="540" w:lineRule="exact"/>
        <w:ind w:firstLine="640" w:firstLineChars="200"/>
        <w:jc w:val="both"/>
        <w:rPr>
          <w:rFonts w:ascii="仿宋_GB2312" w:eastAsia="仿宋_GB2312" w:cstheme="minorBidi"/>
          <w:b w:val="0"/>
          <w:bCs w:val="0"/>
          <w:color w:val="000000" w:themeColor="text1"/>
          <w:kern w:val="21"/>
          <w:sz w:val="32"/>
          <w:szCs w:val="32"/>
          <w14:textFill>
            <w14:solidFill>
              <w14:schemeClr w14:val="tx1"/>
            </w14:solidFill>
          </w14:textFill>
        </w:rPr>
      </w:pPr>
      <w:r>
        <w:rPr>
          <w:rFonts w:ascii="仿宋_GB2312" w:eastAsia="仿宋_GB2312" w:cstheme="minorBidi"/>
          <w:b w:val="0"/>
          <w:bCs w:val="0"/>
          <w:color w:val="000000" w:themeColor="text1"/>
          <w:kern w:val="21"/>
          <w:sz w:val="32"/>
          <w:szCs w:val="32"/>
          <w14:textFill>
            <w14:solidFill>
              <w14:schemeClr w14:val="tx1"/>
            </w14:solidFill>
          </w14:textFill>
        </w:rPr>
        <w:t>全面落实立德树人根本任务。坚持社会主义办学方向，加快构建德智体美劳全面培养的教育体系，重视青少年身体素质和心理健康教育，全面增强学生文明素养、社会责任意识、实践本领。</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全面启动义务教育优质均衡工程</w:t>
      </w:r>
      <w:r>
        <w:rPr>
          <w:rFonts w:ascii="仿宋_GB2312" w:eastAsia="仿宋_GB2312"/>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推进学校标准化建设，提升办学内涵，提高教育质量。健全学校家庭社会协同育人机制，补齐师资短板，加强师德师风建设，提升教师能力素质。统筹优化城乡基础教育学校布局，建立健全适应学龄人口变化的学校布局调整机制，均衡配置教育资源。按照“四统一”标准，启动并完成一批学校重建、迁建、扩建和新建项目，实施农村义务教育学校薄弱环节改善和能力提升计划。</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全面实现学前教育普及普惠。提高公办幼儿园占比和公办幼儿园幼儿数占比、学前教育毛入园率、普惠性幼儿园数量，基本满足学龄前儿童保教需求，</w:t>
      </w:r>
      <w:r>
        <w:rPr>
          <w:rFonts w:hint="eastAsia" w:ascii="仿宋_GB2312" w:hAnsi="仿宋_GB2312" w:eastAsia="仿宋_GB2312" w:cs="仿宋_GB2312"/>
          <w:b w:val="0"/>
          <w:bCs w:val="0"/>
          <w:sz w:val="32"/>
          <w:szCs w:val="32"/>
        </w:rPr>
        <w:t>进一步推进义务教育优质均衡发展</w:t>
      </w:r>
      <w:r>
        <w:rPr>
          <w:rFonts w:hint="eastAsia" w:ascii="仿宋_GB2312" w:eastAsia="仿宋_GB2312"/>
          <w:b w:val="0"/>
          <w:bCs w:val="0"/>
          <w:color w:val="000000" w:themeColor="text1"/>
          <w:kern w:val="21"/>
          <w:sz w:val="32"/>
          <w:szCs w:val="32"/>
          <w14:textFill>
            <w14:solidFill>
              <w14:schemeClr w14:val="tx1"/>
            </w14:solidFill>
          </w14:textFill>
        </w:rPr>
        <w:t>。实施普通高中提升计划，鼓励高中阶段学校多样化发展，力争高中阶段毛入学率达到95%以上。</w:t>
      </w:r>
      <w:r>
        <w:rPr>
          <w:rFonts w:hint="eastAsia" w:ascii="仿宋_GB2312" w:hAnsi="仿宋_GB2312" w:eastAsia="仿宋_GB2312" w:cs="仿宋_GB2312"/>
          <w:b w:val="0"/>
          <w:bCs w:val="0"/>
          <w:sz w:val="32"/>
          <w:szCs w:val="32"/>
        </w:rPr>
        <w:t>推进职业教育融合创新发展。</w:t>
      </w:r>
      <w:r>
        <w:rPr>
          <w:rFonts w:hint="eastAsia" w:ascii="仿宋_GB2312" w:eastAsia="仿宋_GB2312"/>
          <w:b w:val="0"/>
          <w:bCs w:val="0"/>
          <w:color w:val="000000" w:themeColor="text1"/>
          <w:kern w:val="21"/>
          <w:sz w:val="32"/>
          <w:szCs w:val="32"/>
          <w14:textFill>
            <w14:solidFill>
              <w14:schemeClr w14:val="tx1"/>
            </w14:solidFill>
          </w14:textFill>
        </w:rPr>
        <w:t>支持民办教育，规范校外培训机构。</w:t>
      </w:r>
      <w:r>
        <w:rPr>
          <w:rFonts w:ascii="仿宋_GB2312" w:eastAsia="仿宋_GB2312"/>
          <w:b w:val="0"/>
          <w:bCs w:val="0"/>
          <w:color w:val="000000" w:themeColor="text1"/>
          <w:kern w:val="21"/>
          <w:sz w:val="32"/>
          <w:szCs w:val="32"/>
          <w14:textFill>
            <w14:solidFill>
              <w14:schemeClr w14:val="tx1"/>
            </w14:solidFill>
          </w14:textFill>
        </w:rPr>
        <w:t>积极发展</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互联网+教育</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，完善终身学习体系，建设学习型社会。</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39.全面建设健康乐平。</w:t>
      </w:r>
      <w:r>
        <w:rPr>
          <w:rFonts w:ascii="仿宋_GB2312" w:eastAsia="仿宋_GB2312"/>
          <w:b w:val="0"/>
          <w:bCs w:val="0"/>
          <w:color w:val="000000" w:themeColor="text1"/>
          <w:kern w:val="21"/>
          <w:sz w:val="32"/>
          <w:szCs w:val="32"/>
          <w14:textFill>
            <w14:solidFill>
              <w14:schemeClr w14:val="tx1"/>
            </w14:solidFill>
          </w14:textFill>
        </w:rPr>
        <w:t>把保障人民健康放在优先发展的战略位置，</w:t>
      </w:r>
      <w:r>
        <w:rPr>
          <w:rFonts w:hint="eastAsia" w:ascii="仿宋_GB2312" w:eastAsia="仿宋_GB2312"/>
          <w:b w:val="0"/>
          <w:bCs w:val="0"/>
          <w:color w:val="000000" w:themeColor="text1"/>
          <w:kern w:val="21"/>
          <w:sz w:val="32"/>
          <w:szCs w:val="32"/>
          <w14:textFill>
            <w14:solidFill>
              <w14:schemeClr w14:val="tx1"/>
            </w14:solidFill>
          </w14:textFill>
        </w:rPr>
        <w:t>积极开展爱国卫生运动，倡导全民健康理念，深入实施健康乐平行动，坚持预防为主</w:t>
      </w:r>
      <w:r>
        <w:rPr>
          <w:rFonts w:ascii="仿宋_GB2312" w:eastAsia="仿宋_GB2312"/>
          <w:b w:val="0"/>
          <w:bCs w:val="0"/>
          <w:color w:val="000000" w:themeColor="text1"/>
          <w:kern w:val="21"/>
          <w:sz w:val="32"/>
          <w:szCs w:val="32"/>
          <w14:textFill>
            <w14:solidFill>
              <w14:schemeClr w14:val="tx1"/>
            </w14:solidFill>
          </w14:textFill>
        </w:rPr>
        <w:t>，</w:t>
      </w:r>
      <w:r>
        <w:rPr>
          <w:rFonts w:hint="eastAsia" w:ascii="仿宋_GB2312" w:eastAsia="仿宋_GB2312"/>
          <w:b w:val="0"/>
          <w:bCs w:val="0"/>
          <w:color w:val="000000" w:themeColor="text1"/>
          <w:kern w:val="21"/>
          <w:sz w:val="32"/>
          <w:szCs w:val="32"/>
          <w14:textFill>
            <w14:solidFill>
              <w14:schemeClr w14:val="tx1"/>
            </w14:solidFill>
          </w14:textFill>
        </w:rPr>
        <w:t>完善公共卫生防护体系，不断提升医疗健康服务供给能力，</w:t>
      </w:r>
      <w:r>
        <w:rPr>
          <w:rFonts w:ascii="仿宋_GB2312" w:eastAsia="仿宋_GB2312"/>
          <w:b w:val="0"/>
          <w:bCs w:val="0"/>
          <w:color w:val="000000" w:themeColor="text1"/>
          <w:kern w:val="21"/>
          <w:sz w:val="32"/>
          <w:szCs w:val="32"/>
          <w14:textFill>
            <w14:solidFill>
              <w14:schemeClr w14:val="tx1"/>
            </w14:solidFill>
          </w14:textFill>
        </w:rPr>
        <w:t>全方位全周期保障人民健康</w:t>
      </w:r>
      <w:r>
        <w:rPr>
          <w:rFonts w:hint="eastAsia" w:ascii="仿宋_GB2312" w:eastAsia="仿宋_GB2312"/>
          <w:b w:val="0"/>
          <w:bCs w:val="0"/>
          <w:color w:val="000000" w:themeColor="text1"/>
          <w:kern w:val="21"/>
          <w:sz w:val="32"/>
          <w:szCs w:val="32"/>
          <w14:textFill>
            <w14:solidFill>
              <w14:schemeClr w14:val="tx1"/>
            </w14:solidFill>
          </w14:textFill>
        </w:rPr>
        <w:t>。</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强化公共卫生防护能力。</w:t>
      </w:r>
      <w:r>
        <w:rPr>
          <w:rFonts w:ascii="仿宋_GB2312" w:eastAsia="仿宋_GB2312"/>
          <w:b w:val="0"/>
          <w:bCs w:val="0"/>
          <w:color w:val="000000" w:themeColor="text1"/>
          <w:kern w:val="21"/>
          <w:sz w:val="32"/>
          <w:szCs w:val="32"/>
          <w14:textFill>
            <w14:solidFill>
              <w14:schemeClr w14:val="tx1"/>
            </w14:solidFill>
          </w14:textFill>
        </w:rPr>
        <w:t>坚持基本医疗卫生事业公益属性，强化政府对卫生健康的领导责任、投入保障责任、管理责任、监督责任。</w:t>
      </w:r>
      <w:r>
        <w:rPr>
          <w:rFonts w:hint="eastAsia" w:ascii="仿宋_GB2312" w:eastAsia="仿宋_GB2312"/>
          <w:b w:val="0"/>
          <w:bCs w:val="0"/>
          <w:color w:val="000000" w:themeColor="text1"/>
          <w:kern w:val="21"/>
          <w:sz w:val="32"/>
          <w:szCs w:val="32"/>
          <w14:textFill>
            <w14:solidFill>
              <w14:schemeClr w14:val="tx1"/>
            </w14:solidFill>
          </w14:textFill>
        </w:rPr>
        <w:t>完善突发公共卫生事件监测预警处置机制，健全医疗救治、科技支撑、物资保障体系，提高应对突发公共卫生事件能力。</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深化医药卫生体制改革。完善家庭医生签约服务，减轻群众就医负担。坚持中西医并重，由乐平市人民医院、乐平市中医医院分别牵头组建两个医共体，推动医共体内服务能力共提、人才梯队共建、健康服务共管、优质资源共享。提升市域医疗卫生服务能力和水平。充分发挥中医药独特优势。大力支持公立医院，合理推进民办医院建设。对部分基层卫生院进行搬迁重建，夯实基层公共卫生服务体系。</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40</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积极应对人口老龄化。</w:t>
      </w:r>
      <w:r>
        <w:rPr>
          <w:rFonts w:hint="eastAsia" w:ascii="仿宋_GB2312" w:eastAsia="仿宋_GB2312"/>
          <w:b w:val="0"/>
          <w:bCs w:val="0"/>
          <w:color w:val="000000" w:themeColor="text1"/>
          <w:kern w:val="21"/>
          <w:sz w:val="32"/>
          <w:szCs w:val="32"/>
          <w14:textFill>
            <w14:solidFill>
              <w14:schemeClr w14:val="tx1"/>
            </w14:solidFill>
          </w14:textFill>
        </w:rPr>
        <w:t>立足乐平人口结构变化总体趋势，落实国家人口长期均衡发展和国家生育政策，出台激励措施，</w:t>
      </w:r>
      <w:r>
        <w:rPr>
          <w:rFonts w:ascii="仿宋_GB2312" w:eastAsia="仿宋_GB2312"/>
          <w:b w:val="0"/>
          <w:bCs w:val="0"/>
          <w:color w:val="000000" w:themeColor="text1"/>
          <w:kern w:val="21"/>
          <w:sz w:val="32"/>
          <w:szCs w:val="32"/>
          <w14:textFill>
            <w14:solidFill>
              <w14:schemeClr w14:val="tx1"/>
            </w14:solidFill>
          </w14:textFill>
        </w:rPr>
        <w:t>增强政策包容性</w:t>
      </w:r>
      <w:r>
        <w:rPr>
          <w:rFonts w:hint="eastAsia" w:ascii="仿宋_GB2312" w:eastAsia="仿宋_GB2312"/>
          <w:b w:val="0"/>
          <w:bCs w:val="0"/>
          <w:color w:val="000000" w:themeColor="text1"/>
          <w:kern w:val="21"/>
          <w:sz w:val="32"/>
          <w:szCs w:val="32"/>
          <w14:textFill>
            <w14:solidFill>
              <w14:schemeClr w14:val="tx1"/>
            </w14:solidFill>
          </w14:textFill>
        </w:rPr>
        <w:t>，提高适龄群体生育意愿，促进人口长期均衡发展。</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降低“育幼成本”。发展普惠托育体系，降低生育、养育、教育成本，提高优生优育服务水平，增强乐平出生人口素质。落实渐进式延迟法定退休年龄政策，积极开发低龄老人人力资源，探索吸引人口回流机制，缓解劳动力结构性短缺。</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实现“老有所养”。发展银发经济，推动养老事业和养老产业协同发展，完善相应政策体系和服务体系，健全基本养老服务体系，推进乐平社会福利中心建设，夯实公办养老兜底功能。深化公办养老机构改革，支持社会力量兴办养老机构。开展农村、社区基础设施适老化改造，探索“以老服老”“互助型”养老模式，支持家庭承担养老功能，提升居家养老服务质量。深化“党建+农村养老服务”，推进“瓷都爱心食堂”建设，持续开展农村养老服务体系建设，健全覆盖县乡村三级的农村养老服务网络，实现“老有所养”。</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41</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健全社会保障体系。</w:t>
      </w:r>
      <w:r>
        <w:rPr>
          <w:rFonts w:hint="eastAsia" w:ascii="仿宋_GB2312" w:eastAsia="仿宋_GB2312"/>
          <w:b w:val="0"/>
          <w:bCs w:val="0"/>
          <w:color w:val="000000" w:themeColor="text1"/>
          <w:kern w:val="21"/>
          <w:sz w:val="32"/>
          <w:szCs w:val="32"/>
          <w14:textFill>
            <w14:solidFill>
              <w14:schemeClr w14:val="tx1"/>
            </w14:solidFill>
          </w14:textFill>
        </w:rPr>
        <w:t>大力构建覆盖全市、统筹城乡、公平统一、可持续的多层次社会保障体系。</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完善社会保障制度。积极对接落实企业职工养老保险、基本医疗保险、失业保险、工伤保险省级统筹。落实社保转移接续、异地就医结算制度，健全重大疾病医疗保险和救助制度，探索建立长期护理保险制度、发展商业医疗保险。</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推进社会保险覆盖。推进差额拨款事业单位及自收自支事业单位上线工作，实现机关事业单位社保全覆盖。逐步推进政府未安置退役军人、被征地农民、乡镇街道市直单位聘用人员参保工作。持续推进各项社会福利事业，切实保障弱势群体权益。</w:t>
      </w:r>
    </w:p>
    <w:p>
      <w:pPr>
        <w:pStyle w:val="3"/>
        <w:spacing w:after="0" w:line="540" w:lineRule="exact"/>
        <w:ind w:firstLine="640" w:firstLineChars="200"/>
        <w:rPr>
          <w:rFonts w:ascii="仿宋_GB2312" w:hAnsi="仿宋_GB2312" w:eastAsia="黑体" w:cs="仿宋_GB2312"/>
          <w:b w:val="0"/>
          <w:bCs w:val="0"/>
          <w:color w:val="000000" w:themeColor="text1"/>
          <w:kern w:val="21"/>
          <w:sz w:val="32"/>
          <w:szCs w:val="32"/>
          <w:shd w:val="clear" w:color="auto" w:fill="FFFFFF"/>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十二</w:t>
      </w:r>
      <w:r>
        <w:rPr>
          <w:rFonts w:eastAsia="黑体"/>
          <w:b w:val="0"/>
          <w:bCs w:val="0"/>
          <w:color w:val="000000" w:themeColor="text1"/>
          <w:kern w:val="21"/>
          <w:sz w:val="32"/>
          <w:szCs w:val="32"/>
          <w14:textFill>
            <w14:solidFill>
              <w14:schemeClr w14:val="tx1"/>
            </w14:solidFill>
          </w14:textFill>
        </w:rPr>
        <w:t>、</w:t>
      </w:r>
      <w:r>
        <w:rPr>
          <w:rFonts w:hint="eastAsia" w:eastAsia="黑体"/>
          <w:b w:val="0"/>
          <w:bCs w:val="0"/>
          <w:color w:val="000000" w:themeColor="text1"/>
          <w:kern w:val="21"/>
          <w:sz w:val="32"/>
          <w:szCs w:val="32"/>
          <w14:textFill>
            <w14:solidFill>
              <w14:schemeClr w14:val="tx1"/>
            </w14:solidFill>
          </w14:textFill>
        </w:rPr>
        <w:t>大力实施人才振兴战略，确保赓续发展动力更充分更强劲</w:t>
      </w:r>
    </w:p>
    <w:p>
      <w:pPr>
        <w:pStyle w:val="3"/>
        <w:spacing w:after="0"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深化人才发展体制机制改革，着力推动市委深化人才发展体制机制改革“十条意见”落地落实，实施“优秀青年人才123”计划，突出外引内育，全方位培养、引进、用好人才，</w:t>
      </w:r>
      <w:r>
        <w:rPr>
          <w:rFonts w:ascii="仿宋_GB2312" w:eastAsia="仿宋_GB2312"/>
          <w:b w:val="0"/>
          <w:bCs w:val="0"/>
          <w:color w:val="000000" w:themeColor="text1"/>
          <w:kern w:val="21"/>
          <w:sz w:val="32"/>
          <w:szCs w:val="32"/>
          <w14:textFill>
            <w14:solidFill>
              <w14:schemeClr w14:val="tx1"/>
            </w14:solidFill>
          </w14:textFill>
        </w:rPr>
        <w:t>维护人才</w:t>
      </w:r>
      <w:r>
        <w:rPr>
          <w:b w:val="0"/>
          <w:bCs w:val="0"/>
        </w:rPr>
        <w:fldChar w:fldCharType="begin"/>
      </w:r>
      <w:r>
        <w:rPr>
          <w:b w:val="0"/>
          <w:bCs w:val="0"/>
        </w:rPr>
        <w:instrText xml:space="preserve"> HYPERLINK "https://baike.baidu.com/item/%E6%9D%83%E7%9B%8A" \t "_blank" </w:instrText>
      </w:r>
      <w:r>
        <w:rPr>
          <w:b w:val="0"/>
          <w:bCs w:val="0"/>
        </w:rPr>
        <w:fldChar w:fldCharType="separate"/>
      </w:r>
      <w:r>
        <w:rPr>
          <w:rFonts w:ascii="仿宋_GB2312" w:eastAsia="仿宋_GB2312"/>
          <w:b w:val="0"/>
          <w:bCs w:val="0"/>
          <w:color w:val="000000" w:themeColor="text1"/>
          <w:kern w:val="21"/>
          <w:sz w:val="32"/>
          <w:szCs w:val="32"/>
          <w14:textFill>
            <w14:solidFill>
              <w14:schemeClr w14:val="tx1"/>
            </w14:solidFill>
          </w14:textFill>
        </w:rPr>
        <w:t>权益</w:t>
      </w:r>
      <w:r>
        <w:rPr>
          <w:rFonts w:ascii="仿宋_GB2312" w:eastAsia="仿宋_GB2312"/>
          <w:b w:val="0"/>
          <w:bCs w:val="0"/>
          <w:color w:val="000000" w:themeColor="text1"/>
          <w:kern w:val="21"/>
          <w:sz w:val="32"/>
          <w:szCs w:val="32"/>
          <w14:textFill>
            <w14:solidFill>
              <w14:schemeClr w14:val="tx1"/>
            </w14:solidFill>
          </w14:textFill>
        </w:rPr>
        <w:fldChar w:fldCharType="end"/>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壮大人才队伍，</w:t>
      </w:r>
      <w:r>
        <w:rPr>
          <w:rFonts w:hint="eastAsia" w:ascii="仿宋_GB2312" w:eastAsia="仿宋_GB2312"/>
          <w:b w:val="0"/>
          <w:bCs w:val="0"/>
          <w:color w:val="000000" w:themeColor="text1"/>
          <w:kern w:val="21"/>
          <w:sz w:val="32"/>
          <w:szCs w:val="32"/>
          <w14:textFill>
            <w14:solidFill>
              <w14:schemeClr w14:val="tx1"/>
            </w14:solidFill>
          </w14:textFill>
        </w:rPr>
        <w:t>全面提升人才公共服务能级。</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42</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加大引才力度。</w:t>
      </w:r>
      <w:r>
        <w:rPr>
          <w:rFonts w:hint="eastAsia" w:ascii="仿宋_GB2312" w:eastAsia="仿宋_GB2312"/>
          <w:b w:val="0"/>
          <w:bCs w:val="0"/>
          <w:color w:val="000000" w:themeColor="text1"/>
          <w:kern w:val="21"/>
          <w:sz w:val="32"/>
          <w:szCs w:val="32"/>
          <w14:textFill>
            <w14:solidFill>
              <w14:schemeClr w14:val="tx1"/>
            </w14:solidFill>
          </w14:textFill>
        </w:rPr>
        <w:t>坚决贯彻尊重劳动、尊重知识、尊重人才、尊重创造方针，健全招才引智机制，健全层次分明、支撑有力的人才引进培育体系</w:t>
      </w:r>
      <w:r>
        <w:rPr>
          <w:rFonts w:hint="eastAsia" w:ascii="仿宋_GB2312" w:hAnsi="仿宋_GB2312" w:eastAsia="仿宋_GB2312" w:cs="仿宋_GB2312"/>
          <w:b w:val="0"/>
          <w:bCs w:val="0"/>
          <w:color w:val="000000" w:themeColor="text1"/>
          <w:kern w:val="21"/>
          <w:sz w:val="32"/>
          <w:szCs w:val="32"/>
          <w:shd w:val="clear" w:color="auto" w:fill="FFFFFF"/>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为</w:t>
      </w:r>
      <w:r>
        <w:rPr>
          <w:rFonts w:hint="eastAsia" w:ascii="仿宋_GB2312" w:eastAsia="仿宋_GB2312"/>
          <w:b w:val="0"/>
          <w:bCs w:val="0"/>
          <w:color w:val="000000" w:themeColor="text1"/>
          <w:kern w:val="21"/>
          <w:sz w:val="32"/>
          <w:szCs w:val="32"/>
          <w14:textFill>
            <w14:solidFill>
              <w14:schemeClr w14:val="tx1"/>
            </w14:solidFill>
          </w14:textFill>
        </w:rPr>
        <w:t>全市</w:t>
      </w:r>
      <w:r>
        <w:rPr>
          <w:rFonts w:ascii="仿宋_GB2312" w:eastAsia="仿宋_GB2312"/>
          <w:b w:val="0"/>
          <w:bCs w:val="0"/>
          <w:color w:val="000000" w:themeColor="text1"/>
          <w:kern w:val="21"/>
          <w:sz w:val="32"/>
          <w:szCs w:val="32"/>
          <w14:textFill>
            <w14:solidFill>
              <w14:schemeClr w14:val="tx1"/>
            </w14:solidFill>
          </w14:textFill>
        </w:rPr>
        <w:t>经济</w:t>
      </w:r>
      <w:r>
        <w:rPr>
          <w:rFonts w:hint="eastAsia" w:ascii="仿宋_GB2312" w:eastAsia="仿宋_GB2312"/>
          <w:b w:val="0"/>
          <w:bCs w:val="0"/>
          <w:color w:val="000000" w:themeColor="text1"/>
          <w:kern w:val="21"/>
          <w:sz w:val="32"/>
          <w:szCs w:val="32"/>
          <w14:textFill>
            <w14:solidFill>
              <w14:schemeClr w14:val="tx1"/>
            </w14:solidFill>
          </w14:textFill>
        </w:rPr>
        <w:t>社会高质量跨越式</w:t>
      </w:r>
      <w:r>
        <w:rPr>
          <w:rFonts w:ascii="仿宋_GB2312" w:eastAsia="仿宋_GB2312"/>
          <w:b w:val="0"/>
          <w:bCs w:val="0"/>
          <w:color w:val="000000" w:themeColor="text1"/>
          <w:kern w:val="21"/>
          <w:sz w:val="32"/>
          <w:szCs w:val="32"/>
          <w14:textFill>
            <w14:solidFill>
              <w14:schemeClr w14:val="tx1"/>
            </w14:solidFill>
          </w14:textFill>
        </w:rPr>
        <w:t>发展提供充分人才资源</w:t>
      </w:r>
      <w:r>
        <w:rPr>
          <w:rFonts w:hint="eastAsia" w:ascii="仿宋_GB2312" w:eastAsia="仿宋_GB2312"/>
          <w:b w:val="0"/>
          <w:bCs w:val="0"/>
          <w:color w:val="000000" w:themeColor="text1"/>
          <w:kern w:val="21"/>
          <w:sz w:val="32"/>
          <w:szCs w:val="32"/>
          <w14:textFill>
            <w14:solidFill>
              <w14:schemeClr w14:val="tx1"/>
            </w14:solidFill>
          </w14:textFill>
        </w:rPr>
        <w:t>和智力支撑。</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加大优秀人才引进。立足精细化工、生物医药等特色产业体系，紧密联系省内外高校，推动优势学科联系优势产业、优秀人才联系骨干企业，支持引进国内外顶尖人才、领军人才、</w:t>
      </w:r>
      <w:r>
        <w:rPr>
          <w:rFonts w:ascii="仿宋_GB2312" w:eastAsia="仿宋_GB2312"/>
          <w:b w:val="0"/>
          <w:bCs w:val="0"/>
          <w:color w:val="000000" w:themeColor="text1"/>
          <w:kern w:val="21"/>
          <w:sz w:val="32"/>
          <w:szCs w:val="32"/>
          <w14:textFill>
            <w14:solidFill>
              <w14:schemeClr w14:val="tx1"/>
            </w14:solidFill>
          </w14:textFill>
        </w:rPr>
        <w:t>百千万人才工程省级人选</w:t>
      </w:r>
      <w:r>
        <w:rPr>
          <w:rFonts w:hint="eastAsia"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加大人才资金投入。发挥人才发展专项资金等政府投入的引导和撬动作用，建立政府、企业、社会多元化人才资金投入机制。聘请一批高层次人才组成顾问团队，定期为我市经济发展提供咨询、信息、论证服务。</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43</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优化人才政策。</w:t>
      </w:r>
      <w:r>
        <w:rPr>
          <w:rFonts w:hint="eastAsia" w:ascii="仿宋_GB2312" w:eastAsia="仿宋_GB2312"/>
          <w:b w:val="0"/>
          <w:bCs w:val="0"/>
          <w:color w:val="000000" w:themeColor="text1"/>
          <w:kern w:val="21"/>
          <w:sz w:val="32"/>
          <w:szCs w:val="32"/>
          <w14:textFill>
            <w14:solidFill>
              <w14:schemeClr w14:val="tx1"/>
            </w14:solidFill>
          </w14:textFill>
        </w:rPr>
        <w:t>实施更具吸引力的人才引进政策，积极吸引各类高素质人才，特别是青年人才来乐创新创业。深入实施“归雁计划”、“团圆计划”等乐籍人才回归工程，强化人才公寓等生活配套服务，</w:t>
      </w:r>
      <w:r>
        <w:rPr>
          <w:rFonts w:ascii="仿宋_GB2312" w:eastAsia="仿宋_GB2312"/>
          <w:b w:val="0"/>
          <w:bCs w:val="0"/>
          <w:color w:val="000000" w:themeColor="text1"/>
          <w:kern w:val="21"/>
          <w:sz w:val="32"/>
          <w:szCs w:val="32"/>
          <w14:textFill>
            <w14:solidFill>
              <w14:schemeClr w14:val="tx1"/>
            </w14:solidFill>
          </w14:textFill>
        </w:rPr>
        <w:t>实现人才公共服务的均等化</w:t>
      </w:r>
      <w:r>
        <w:rPr>
          <w:rFonts w:hint="eastAsia" w:ascii="仿宋_GB2312" w:eastAsia="仿宋_GB2312"/>
          <w:b w:val="0"/>
          <w:bCs w:val="0"/>
          <w:color w:val="000000" w:themeColor="text1"/>
          <w:kern w:val="21"/>
          <w:sz w:val="32"/>
          <w:szCs w:val="32"/>
          <w14:textFill>
            <w14:solidFill>
              <w14:schemeClr w14:val="tx1"/>
            </w14:solidFill>
          </w14:textFill>
        </w:rPr>
        <w:t>优质化。</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创新人才流动机制。突出用人单位主体作用，</w:t>
      </w:r>
      <w:r>
        <w:rPr>
          <w:rFonts w:ascii="仿宋_GB2312" w:eastAsia="仿宋_GB2312"/>
          <w:b w:val="0"/>
          <w:bCs w:val="0"/>
          <w:color w:val="000000" w:themeColor="text1"/>
          <w:kern w:val="21"/>
          <w:sz w:val="32"/>
          <w:szCs w:val="32"/>
          <w14:textFill>
            <w14:solidFill>
              <w14:schemeClr w14:val="tx1"/>
            </w14:solidFill>
          </w14:textFill>
        </w:rPr>
        <w:t>以</w:t>
      </w:r>
      <w:r>
        <w:rPr>
          <w:b w:val="0"/>
          <w:bCs w:val="0"/>
        </w:rPr>
        <w:fldChar w:fldCharType="begin"/>
      </w:r>
      <w:r>
        <w:rPr>
          <w:b w:val="0"/>
          <w:bCs w:val="0"/>
        </w:rPr>
        <w:instrText xml:space="preserve"> HYPERLINK "https://baike.baidu.com/item/%E5%85%AC%E5%BC%80" \t "_blank" </w:instrText>
      </w:r>
      <w:r>
        <w:rPr>
          <w:b w:val="0"/>
          <w:bCs w:val="0"/>
        </w:rPr>
        <w:fldChar w:fldCharType="separate"/>
      </w:r>
      <w:r>
        <w:rPr>
          <w:rFonts w:ascii="仿宋_GB2312" w:eastAsia="仿宋_GB2312"/>
          <w:b w:val="0"/>
          <w:bCs w:val="0"/>
          <w:color w:val="000000" w:themeColor="text1"/>
          <w:kern w:val="21"/>
          <w:sz w:val="32"/>
          <w:szCs w:val="32"/>
          <w14:textFill>
            <w14:solidFill>
              <w14:schemeClr w14:val="tx1"/>
            </w14:solidFill>
          </w14:textFill>
        </w:rPr>
        <w:t>公开</w:t>
      </w:r>
      <w:r>
        <w:rPr>
          <w:rFonts w:ascii="仿宋_GB2312" w:eastAsia="仿宋_GB2312"/>
          <w:b w:val="0"/>
          <w:bCs w:val="0"/>
          <w:color w:val="000000" w:themeColor="text1"/>
          <w:kern w:val="21"/>
          <w:sz w:val="32"/>
          <w:szCs w:val="32"/>
          <w14:textFill>
            <w14:solidFill>
              <w14:schemeClr w14:val="tx1"/>
            </w14:solidFill>
          </w14:textFill>
        </w:rPr>
        <w:fldChar w:fldCharType="end"/>
      </w:r>
      <w:r>
        <w:rPr>
          <w:rFonts w:ascii="仿宋_GB2312" w:eastAsia="仿宋_GB2312"/>
          <w:b w:val="0"/>
          <w:bCs w:val="0"/>
          <w:color w:val="000000" w:themeColor="text1"/>
          <w:kern w:val="21"/>
          <w:sz w:val="32"/>
          <w:szCs w:val="32"/>
          <w14:textFill>
            <w14:solidFill>
              <w14:schemeClr w14:val="tx1"/>
            </w14:solidFill>
          </w14:textFill>
        </w:rPr>
        <w:t>、平等、竞争、择优为导向</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在人才的评价、使用、流动、激励等机制方面进行大胆创新，</w:t>
      </w:r>
      <w:r>
        <w:rPr>
          <w:rFonts w:hint="eastAsia" w:ascii="仿宋_GB2312" w:eastAsia="仿宋_GB2312"/>
          <w:b w:val="0"/>
          <w:bCs w:val="0"/>
          <w:color w:val="000000" w:themeColor="text1"/>
          <w:kern w:val="21"/>
          <w:sz w:val="32"/>
          <w:szCs w:val="32"/>
          <w14:textFill>
            <w14:solidFill>
              <w14:schemeClr w14:val="tx1"/>
            </w14:solidFill>
          </w14:textFill>
        </w:rPr>
        <w:t>完善人才服务机制。</w:t>
      </w:r>
      <w:r>
        <w:rPr>
          <w:rFonts w:hint="eastAsia" w:ascii="仿宋_GB2312" w:hAnsi="仿宋_GB2312" w:eastAsia="仿宋_GB2312" w:cs="仿宋_GB2312"/>
          <w:b w:val="0"/>
          <w:bCs w:val="0"/>
          <w:color w:val="000000" w:themeColor="text1"/>
          <w:kern w:val="21"/>
          <w:sz w:val="32"/>
          <w:szCs w:val="32"/>
          <w:shd w:val="clear" w:color="auto" w:fill="FFFFFF"/>
          <w14:textFill>
            <w14:solidFill>
              <w14:schemeClr w14:val="tx1"/>
            </w14:solidFill>
          </w14:textFill>
        </w:rPr>
        <w:t>加大柔性引才力度，打破户籍、身份、学历、人事关系等制约</w:t>
      </w:r>
      <w:r>
        <w:rPr>
          <w:rFonts w:hint="eastAsia"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44</w:t>
      </w:r>
      <w:r>
        <w:rPr>
          <w:rFonts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w:t>
      </w:r>
      <w:r>
        <w:rPr>
          <w:rFonts w:hint="eastAsia" w:ascii="楷体_GB2312" w:hAnsi="楷体_GB2312" w:eastAsia="楷体_GB2312" w:cs="楷体_GB2312"/>
          <w:b w:val="0"/>
          <w:bCs w:val="0"/>
          <w:color w:val="000000" w:themeColor="text1"/>
          <w:kern w:val="21"/>
          <w:sz w:val="32"/>
          <w:szCs w:val="32"/>
          <w:shd w:val="clear" w:color="auto" w:fill="FFFFFF"/>
          <w14:textFill>
            <w14:solidFill>
              <w14:schemeClr w14:val="tx1"/>
            </w14:solidFill>
          </w14:textFill>
        </w:rPr>
        <w:t>注重人才培养。</w:t>
      </w:r>
      <w:r>
        <w:rPr>
          <w:rFonts w:hint="eastAsia" w:ascii="仿宋_GB2312" w:eastAsia="仿宋_GB2312"/>
          <w:b w:val="0"/>
          <w:bCs w:val="0"/>
          <w:color w:val="000000" w:themeColor="text1"/>
          <w:kern w:val="21"/>
          <w:sz w:val="32"/>
          <w:szCs w:val="32"/>
          <w14:textFill>
            <w14:solidFill>
              <w14:schemeClr w14:val="tx1"/>
            </w14:solidFill>
          </w14:textFill>
        </w:rPr>
        <w:t>坚持</w:t>
      </w:r>
      <w:r>
        <w:rPr>
          <w:rFonts w:ascii="仿宋_GB2312" w:eastAsia="仿宋_GB2312"/>
          <w:b w:val="0"/>
          <w:bCs w:val="0"/>
          <w:color w:val="000000" w:themeColor="text1"/>
          <w:kern w:val="21"/>
          <w:sz w:val="32"/>
          <w:szCs w:val="32"/>
          <w14:textFill>
            <w14:solidFill>
              <w14:schemeClr w14:val="tx1"/>
            </w14:solidFill>
          </w14:textFill>
        </w:rPr>
        <w:t>在创新实践中培养和使用人才，</w:t>
      </w:r>
      <w:r>
        <w:rPr>
          <w:rFonts w:hint="eastAsia" w:ascii="仿宋_GB2312" w:eastAsia="仿宋_GB2312"/>
          <w:b w:val="0"/>
          <w:bCs w:val="0"/>
          <w:color w:val="000000" w:themeColor="text1"/>
          <w:kern w:val="21"/>
          <w:sz w:val="32"/>
          <w:szCs w:val="32"/>
          <w14:textFill>
            <w14:solidFill>
              <w14:schemeClr w14:val="tx1"/>
            </w14:solidFill>
          </w14:textFill>
        </w:rPr>
        <w:t>加快培养精细化工、生物医药、文化旅游等专业紧缺人才，壮大高水平工程师和高技能人才队伍。</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拓展人才培养渠道。积极筹建乐平市高级技工学校，加快培养技术技能人才，</w:t>
      </w:r>
      <w:r>
        <w:rPr>
          <w:rFonts w:ascii="仿宋_GB2312" w:eastAsia="仿宋_GB2312"/>
          <w:b w:val="0"/>
          <w:bCs w:val="0"/>
          <w:color w:val="000000" w:themeColor="text1"/>
          <w:kern w:val="21"/>
          <w:sz w:val="32"/>
          <w:szCs w:val="32"/>
          <w14:textFill>
            <w14:solidFill>
              <w14:schemeClr w14:val="tx1"/>
            </w14:solidFill>
          </w14:textFill>
        </w:rPr>
        <w:t>打造</w:t>
      </w:r>
      <w:r>
        <w:rPr>
          <w:rFonts w:hint="eastAsia" w:ascii="仿宋_GB2312" w:eastAsia="仿宋_GB2312"/>
          <w:b w:val="0"/>
          <w:bCs w:val="0"/>
          <w:color w:val="000000" w:themeColor="text1"/>
          <w:kern w:val="21"/>
          <w:sz w:val="32"/>
          <w:szCs w:val="32"/>
          <w14:textFill>
            <w14:solidFill>
              <w14:schemeClr w14:val="tx1"/>
            </w14:solidFill>
          </w14:textFill>
        </w:rPr>
        <w:t>区域</w:t>
      </w:r>
      <w:r>
        <w:rPr>
          <w:rFonts w:ascii="仿宋_GB2312" w:eastAsia="仿宋_GB2312"/>
          <w:b w:val="0"/>
          <w:bCs w:val="0"/>
          <w:color w:val="000000" w:themeColor="text1"/>
          <w:kern w:val="21"/>
          <w:sz w:val="32"/>
          <w:szCs w:val="32"/>
          <w14:textFill>
            <w14:solidFill>
              <w14:schemeClr w14:val="tx1"/>
            </w14:solidFill>
          </w14:textFill>
        </w:rPr>
        <w:t>一流职业技术院校</w:t>
      </w:r>
      <w:r>
        <w:rPr>
          <w:rFonts w:hint="eastAsia" w:ascii="仿宋_GB2312" w:eastAsia="仿宋_GB2312"/>
          <w:b w:val="0"/>
          <w:bCs w:val="0"/>
          <w:color w:val="000000" w:themeColor="text1"/>
          <w:kern w:val="21"/>
          <w:sz w:val="32"/>
          <w:szCs w:val="32"/>
          <w14:textFill>
            <w14:solidFill>
              <w14:schemeClr w14:val="tx1"/>
            </w14:solidFill>
          </w14:textFill>
        </w:rPr>
        <w:t>。加大与省内外及景德镇市大专院校联办力度，争取期内引进一家高职院校教学点或分校。</w:t>
      </w:r>
      <w:r>
        <w:rPr>
          <w:rFonts w:ascii="仿宋_GB2312" w:eastAsia="仿宋_GB2312"/>
          <w:b w:val="0"/>
          <w:bCs w:val="0"/>
          <w:color w:val="000000" w:themeColor="text1"/>
          <w:kern w:val="21"/>
          <w:sz w:val="32"/>
          <w:szCs w:val="32"/>
          <w14:textFill>
            <w14:solidFill>
              <w14:schemeClr w14:val="tx1"/>
            </w14:solidFill>
          </w14:textFill>
        </w:rPr>
        <w:t>建立以企业为主体、市场为导向、产学研深度融合的人才培养和使用机制，缩短学校教育、科学研究与工业生产实践之间的距离</w:t>
      </w:r>
      <w:r>
        <w:rPr>
          <w:rFonts w:hint="eastAsia"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加大特色人才培养。加大专业技术人才和乡土人才的培养力度，纵深推进“一村一名大学生工程”，依托乐平古戏台文化艺术优势，培养古戏台建筑工艺人才、传统手工技艺人才、赣剧优秀</w:t>
      </w:r>
      <w:r>
        <w:rPr>
          <w:rFonts w:hint="eastAsia" w:ascii="仿宋_GB2312" w:eastAsia="仿宋_GB2312"/>
          <w:b w:val="0"/>
          <w:bCs w:val="0"/>
          <w:color w:val="000000" w:themeColor="text1"/>
          <w:spacing w:val="-6"/>
          <w:kern w:val="21"/>
          <w:sz w:val="32"/>
          <w:szCs w:val="32"/>
          <w14:textFill>
            <w14:solidFill>
              <w14:schemeClr w14:val="tx1"/>
            </w14:solidFill>
          </w14:textFill>
        </w:rPr>
        <w:t>表演人才、文化产业发展人才，</w:t>
      </w:r>
      <w:r>
        <w:rPr>
          <w:rFonts w:hint="eastAsia" w:ascii="仿宋_GB2312" w:hAnsi="仿宋_GB2312" w:eastAsia="仿宋_GB2312" w:cs="仿宋_GB2312"/>
          <w:b w:val="0"/>
          <w:bCs w:val="0"/>
          <w:color w:val="000000"/>
          <w:sz w:val="32"/>
          <w:szCs w:val="32"/>
          <w:shd w:val="clear" w:color="auto" w:fill="FFFFFF"/>
        </w:rPr>
        <w:t>重点挖掘培养一批工作上有热情、社会上有影响、专业上有技能、具有乐平特色的能工巧匠，</w:t>
      </w:r>
      <w:r>
        <w:rPr>
          <w:rFonts w:hint="eastAsia" w:ascii="仿宋_GB2312" w:eastAsia="仿宋_GB2312"/>
          <w:b w:val="0"/>
          <w:bCs w:val="0"/>
          <w:color w:val="000000" w:themeColor="text1"/>
          <w:spacing w:val="-6"/>
          <w:kern w:val="21"/>
          <w:sz w:val="32"/>
          <w:szCs w:val="32"/>
          <w14:textFill>
            <w14:solidFill>
              <w14:schemeClr w14:val="tx1"/>
            </w14:solidFill>
          </w14:textFill>
        </w:rPr>
        <w:t>形成产业发展与人才的良性互动。</w:t>
      </w:r>
    </w:p>
    <w:p>
      <w:pPr>
        <w:pStyle w:val="3"/>
        <w:spacing w:after="0" w:line="540" w:lineRule="exact"/>
        <w:ind w:firstLine="640" w:firstLineChars="200"/>
        <w:rPr>
          <w:rFonts w:ascii="仿宋_GB2312" w:hAnsi="仿宋_GB2312" w:eastAsia="黑体" w:cs="仿宋_GB2312"/>
          <w:b w:val="0"/>
          <w:bCs w:val="0"/>
          <w:color w:val="000000" w:themeColor="text1"/>
          <w:kern w:val="21"/>
          <w:sz w:val="32"/>
          <w:szCs w:val="32"/>
          <w:shd w:val="clear" w:color="auto" w:fill="FFFFFF"/>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十三</w:t>
      </w:r>
      <w:r>
        <w:rPr>
          <w:rFonts w:eastAsia="黑体"/>
          <w:b w:val="0"/>
          <w:bCs w:val="0"/>
          <w:color w:val="000000" w:themeColor="text1"/>
          <w:kern w:val="21"/>
          <w:sz w:val="32"/>
          <w:szCs w:val="32"/>
          <w14:textFill>
            <w14:solidFill>
              <w14:schemeClr w14:val="tx1"/>
            </w14:solidFill>
          </w14:textFill>
        </w:rPr>
        <w:t>、</w:t>
      </w:r>
      <w:r>
        <w:rPr>
          <w:rFonts w:hint="eastAsia" w:eastAsia="黑体"/>
          <w:b w:val="0"/>
          <w:bCs w:val="0"/>
          <w:color w:val="000000" w:themeColor="text1"/>
          <w:kern w:val="21"/>
          <w:sz w:val="32"/>
          <w:szCs w:val="32"/>
          <w14:textFill>
            <w14:solidFill>
              <w14:schemeClr w14:val="tx1"/>
            </w14:solidFill>
          </w14:textFill>
        </w:rPr>
        <w:t>大力实施乡村振兴战略，促进城乡一体发展更协调更均衡</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坚持把“三农”工作摆在重中之重的位置，全面实施乡村振兴战略，强化以城带乡、协调均衡，探索独具乐平特色的农业农村现代化</w:t>
      </w:r>
      <w:r>
        <w:rPr>
          <w:rFonts w:ascii="仿宋_GB2312" w:eastAsia="仿宋_GB2312"/>
          <w:b w:val="0"/>
          <w:bCs w:val="0"/>
          <w:color w:val="000000" w:themeColor="text1"/>
          <w:kern w:val="21"/>
          <w:sz w:val="32"/>
          <w:szCs w:val="32"/>
          <w14:textFill>
            <w14:solidFill>
              <w14:schemeClr w14:val="tx1"/>
            </w14:solidFill>
          </w14:textFill>
        </w:rPr>
        <w:t>发展</w:t>
      </w:r>
      <w:r>
        <w:rPr>
          <w:rFonts w:hint="eastAsia" w:ascii="仿宋_GB2312" w:eastAsia="仿宋_GB2312"/>
          <w:b w:val="0"/>
          <w:bCs w:val="0"/>
          <w:color w:val="000000" w:themeColor="text1"/>
          <w:kern w:val="21"/>
          <w:sz w:val="32"/>
          <w:szCs w:val="32"/>
          <w14:textFill>
            <w14:solidFill>
              <w14:schemeClr w14:val="tx1"/>
            </w14:solidFill>
          </w14:textFill>
        </w:rPr>
        <w:t>新路径，促进农业高质高效、乡村宜居宜业、农民富裕富足</w:t>
      </w:r>
      <w:r>
        <w:rPr>
          <w:rFonts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45</w:t>
      </w:r>
      <w:r>
        <w:rPr>
          <w:rFonts w:ascii="楷体_GB2312" w:hAnsi="黑体" w:eastAsia="楷体_GB2312"/>
          <w:b w:val="0"/>
          <w:bCs w:val="0"/>
          <w:color w:val="000000" w:themeColor="text1"/>
          <w:kern w:val="21"/>
          <w:sz w:val="32"/>
          <w:szCs w:val="32"/>
          <w14:textFill>
            <w14:solidFill>
              <w14:schemeClr w14:val="tx1"/>
            </w14:solidFill>
          </w14:textFill>
        </w:rPr>
        <w:t>.</w:t>
      </w:r>
      <w:r>
        <w:rPr>
          <w:rFonts w:hint="eastAsia" w:ascii="楷体_GB2312" w:hAnsi="黑体" w:eastAsia="楷体_GB2312"/>
          <w:b w:val="0"/>
          <w:bCs w:val="0"/>
          <w:color w:val="000000" w:themeColor="text1"/>
          <w:kern w:val="21"/>
          <w:sz w:val="32"/>
          <w:szCs w:val="32"/>
          <w14:textFill>
            <w14:solidFill>
              <w14:schemeClr w14:val="tx1"/>
            </w14:solidFill>
          </w14:textFill>
        </w:rPr>
        <w:t>巩固拓展脱贫攻坚成果。</w:t>
      </w:r>
      <w:r>
        <w:rPr>
          <w:rFonts w:hint="eastAsia" w:ascii="仿宋_GB2312" w:eastAsia="仿宋_GB2312"/>
          <w:b w:val="0"/>
          <w:bCs w:val="0"/>
          <w:color w:val="000000" w:themeColor="text1"/>
          <w:kern w:val="21"/>
          <w:sz w:val="32"/>
          <w:szCs w:val="32"/>
          <w14:textFill>
            <w14:solidFill>
              <w14:schemeClr w14:val="tx1"/>
            </w14:solidFill>
          </w14:textFill>
        </w:rPr>
        <w:t>持续巩固拓展全市脱贫攻坚成效，谋划推动脱贫成果与乡村振兴有效衔接。</w:t>
      </w:r>
      <w:r>
        <w:rPr>
          <w:rFonts w:ascii="仿宋_GB2312" w:eastAsia="仿宋_GB2312"/>
          <w:b w:val="0"/>
          <w:bCs w:val="0"/>
          <w:color w:val="000000" w:themeColor="text1"/>
          <w:kern w:val="21"/>
          <w:sz w:val="32"/>
          <w:szCs w:val="32"/>
          <w14:textFill>
            <w14:solidFill>
              <w14:schemeClr w14:val="tx1"/>
            </w14:solidFill>
          </w14:textFill>
        </w:rPr>
        <w:t>在资金、项目、政策等方面继续予以倾斜</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保持</w:t>
      </w:r>
      <w:r>
        <w:rPr>
          <w:rFonts w:hint="eastAsia" w:ascii="仿宋_GB2312" w:eastAsia="仿宋_GB2312"/>
          <w:b w:val="0"/>
          <w:bCs w:val="0"/>
          <w:color w:val="000000" w:themeColor="text1"/>
          <w:kern w:val="21"/>
          <w:sz w:val="32"/>
          <w:szCs w:val="32"/>
          <w14:textFill>
            <w14:solidFill>
              <w14:schemeClr w14:val="tx1"/>
            </w14:solidFill>
          </w14:textFill>
        </w:rPr>
        <w:t>对薄弱地区</w:t>
      </w:r>
      <w:r>
        <w:rPr>
          <w:rFonts w:ascii="仿宋_GB2312" w:eastAsia="仿宋_GB2312"/>
          <w:b w:val="0"/>
          <w:bCs w:val="0"/>
          <w:color w:val="000000" w:themeColor="text1"/>
          <w:kern w:val="21"/>
          <w:sz w:val="32"/>
          <w:szCs w:val="32"/>
          <w14:textFill>
            <w14:solidFill>
              <w14:schemeClr w14:val="tx1"/>
            </w14:solidFill>
          </w14:textFill>
        </w:rPr>
        <w:t>财政投入总体稳定</w:t>
      </w:r>
      <w:r>
        <w:rPr>
          <w:rFonts w:hint="eastAsia" w:ascii="仿宋_GB2312" w:eastAsia="仿宋_GB2312"/>
          <w:b w:val="0"/>
          <w:bCs w:val="0"/>
          <w:color w:val="000000" w:themeColor="text1"/>
          <w:kern w:val="21"/>
          <w:sz w:val="32"/>
          <w:szCs w:val="32"/>
          <w14:textFill>
            <w14:solidFill>
              <w14:schemeClr w14:val="tx1"/>
            </w14:solidFill>
          </w14:textFill>
        </w:rPr>
        <w:t>。持续</w:t>
      </w:r>
      <w:r>
        <w:rPr>
          <w:rFonts w:ascii="仿宋_GB2312" w:eastAsia="仿宋_GB2312"/>
          <w:b w:val="0"/>
          <w:bCs w:val="0"/>
          <w:color w:val="000000" w:themeColor="text1"/>
          <w:kern w:val="21"/>
          <w:sz w:val="32"/>
          <w:szCs w:val="32"/>
          <w14:textFill>
            <w14:solidFill>
              <w14:schemeClr w14:val="tx1"/>
            </w14:solidFill>
          </w14:textFill>
        </w:rPr>
        <w:t>深化产业、就业帮扶，建立健全组织体系和管理机制。健全解决相对贫困问题长效机制，完善防止返贫监测和帮扶机制，</w:t>
      </w:r>
      <w:r>
        <w:rPr>
          <w:rFonts w:hint="eastAsia" w:ascii="仿宋_GB2312" w:eastAsia="仿宋_GB2312"/>
          <w:b w:val="0"/>
          <w:bCs w:val="0"/>
          <w:color w:val="000000" w:themeColor="text1"/>
          <w:kern w:val="21"/>
          <w:sz w:val="32"/>
          <w:szCs w:val="32"/>
          <w14:textFill>
            <w14:solidFill>
              <w14:schemeClr w14:val="tx1"/>
            </w14:solidFill>
          </w14:textFill>
        </w:rPr>
        <w:t>实</w:t>
      </w:r>
      <w:r>
        <w:rPr>
          <w:rFonts w:ascii="仿宋_GB2312" w:eastAsia="仿宋_GB2312"/>
          <w:b w:val="0"/>
          <w:bCs w:val="0"/>
          <w:color w:val="000000" w:themeColor="text1"/>
          <w:kern w:val="21"/>
          <w:sz w:val="32"/>
          <w:szCs w:val="32"/>
          <w14:textFill>
            <w14:solidFill>
              <w14:schemeClr w14:val="tx1"/>
            </w14:solidFill>
          </w14:textFill>
        </w:rPr>
        <w:t>施金融支持、产业奖补、职业培训、防贫保障等帮扶措施</w:t>
      </w:r>
      <w:r>
        <w:rPr>
          <w:rFonts w:hint="eastAsia" w:ascii="仿宋_GB2312" w:eastAsia="仿宋_GB2312"/>
          <w:b w:val="0"/>
          <w:bCs w:val="0"/>
          <w:color w:val="000000" w:themeColor="text1"/>
          <w:kern w:val="21"/>
          <w:sz w:val="32"/>
          <w:szCs w:val="32"/>
          <w14:textFill>
            <w14:solidFill>
              <w14:schemeClr w14:val="tx1"/>
            </w14:solidFill>
          </w14:textFill>
        </w:rPr>
        <w:t>，统筹推进城镇扶弱助困工作，</w:t>
      </w:r>
      <w:r>
        <w:rPr>
          <w:rFonts w:ascii="仿宋_GB2312" w:eastAsia="仿宋_GB2312"/>
          <w:b w:val="0"/>
          <w:bCs w:val="0"/>
          <w:color w:val="000000" w:themeColor="text1"/>
          <w:kern w:val="21"/>
          <w:sz w:val="32"/>
          <w:szCs w:val="32"/>
          <w14:textFill>
            <w14:solidFill>
              <w14:schemeClr w14:val="tx1"/>
            </w14:solidFill>
          </w14:textFill>
        </w:rPr>
        <w:t>完善社会保障和社会救助制度。</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46.大力发展现代农业。</w:t>
      </w:r>
      <w:r>
        <w:rPr>
          <w:rFonts w:ascii="仿宋_GB2312" w:eastAsia="仿宋_GB2312"/>
          <w:b w:val="0"/>
          <w:bCs w:val="0"/>
          <w:color w:val="000000" w:themeColor="text1"/>
          <w:kern w:val="21"/>
          <w:sz w:val="32"/>
          <w:szCs w:val="32"/>
          <w14:textFill>
            <w14:solidFill>
              <w14:schemeClr w14:val="tx1"/>
            </w14:solidFill>
          </w14:textFill>
        </w:rPr>
        <w:t>坚持藏粮于地、藏粮于技，</w:t>
      </w:r>
      <w:r>
        <w:rPr>
          <w:rFonts w:hint="eastAsia" w:ascii="仿宋_GB2312" w:eastAsia="仿宋_GB2312"/>
          <w:b w:val="0"/>
          <w:bCs w:val="0"/>
          <w:color w:val="000000" w:themeColor="text1"/>
          <w:kern w:val="21"/>
          <w:sz w:val="32"/>
          <w:szCs w:val="32"/>
          <w14:textFill>
            <w14:solidFill>
              <w14:schemeClr w14:val="tx1"/>
            </w14:solidFill>
          </w14:textFill>
        </w:rPr>
        <w:t>深入推进</w:t>
      </w:r>
      <w:r>
        <w:rPr>
          <w:rFonts w:ascii="仿宋_GB2312" w:eastAsia="仿宋_GB2312"/>
          <w:b w:val="0"/>
          <w:bCs w:val="0"/>
          <w:color w:val="000000" w:themeColor="text1"/>
          <w:kern w:val="21"/>
          <w:sz w:val="32"/>
          <w:szCs w:val="32"/>
          <w14:textFill>
            <w14:solidFill>
              <w14:schemeClr w14:val="tx1"/>
            </w14:solidFill>
          </w14:textFill>
        </w:rPr>
        <w:t>高标准农田建设，强化农业科技和装备支撑</w:t>
      </w:r>
      <w:r>
        <w:rPr>
          <w:rFonts w:hint="eastAsia" w:ascii="仿宋_GB2312" w:eastAsia="仿宋_GB2312"/>
          <w:b w:val="0"/>
          <w:bCs w:val="0"/>
          <w:color w:val="000000" w:themeColor="text1"/>
          <w:kern w:val="21"/>
          <w:sz w:val="32"/>
          <w:szCs w:val="32"/>
          <w14:textFill>
            <w14:solidFill>
              <w14:schemeClr w14:val="tx1"/>
            </w14:solidFill>
          </w14:textFill>
        </w:rPr>
        <w:t>，推动农业向“深”发展</w:t>
      </w:r>
      <w:r>
        <w:rPr>
          <w:rFonts w:ascii="仿宋_GB2312" w:eastAsia="仿宋_GB2312"/>
          <w:b w:val="0"/>
          <w:bCs w:val="0"/>
          <w:color w:val="000000" w:themeColor="text1"/>
          <w:kern w:val="21"/>
          <w:sz w:val="32"/>
          <w:szCs w:val="32"/>
          <w14:textFill>
            <w14:solidFill>
              <w14:schemeClr w14:val="tx1"/>
            </w14:solidFill>
          </w14:textFill>
        </w:rPr>
        <w:t>。落实最严格的耕地保护制度，开展农村乱占耕地建房问题整治</w:t>
      </w:r>
      <w:r>
        <w:rPr>
          <w:rFonts w:hint="eastAsia" w:ascii="仿宋_GB2312" w:eastAsia="仿宋_GB2312"/>
          <w:b w:val="0"/>
          <w:bCs w:val="0"/>
          <w:color w:val="000000" w:themeColor="text1"/>
          <w:kern w:val="21"/>
          <w:sz w:val="32"/>
          <w:szCs w:val="32"/>
          <w14:textFill>
            <w14:solidFill>
              <w14:schemeClr w14:val="tx1"/>
            </w14:solidFill>
          </w14:textFill>
        </w:rPr>
        <w:t>，确保粮食安全。</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做优农业项目。深入推进“中国好粮油”示范县项目，积极推动“三产”融合发展，加大培育新型农业龙头企业力度。</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着力发展畜牧业，加大“百千万”计划的支持力度，积极探索发展循环农业。</w:t>
      </w:r>
      <w:r>
        <w:rPr>
          <w:rFonts w:hint="eastAsia" w:ascii="仿宋_GB2312" w:eastAsia="仿宋_GB2312"/>
          <w:b w:val="0"/>
          <w:bCs w:val="0"/>
          <w:color w:val="000000" w:themeColor="text1"/>
          <w:kern w:val="21"/>
          <w:sz w:val="32"/>
          <w:szCs w:val="32"/>
          <w14:textFill>
            <w14:solidFill>
              <w14:schemeClr w14:val="tx1"/>
            </w14:solidFill>
          </w14:textFill>
        </w:rPr>
        <w:t>全面抓好标准化绿色有机农产品基地建设，努力形成以蔬菜、粮油、中药材等为主导的农业特色产业体系。</w:t>
      </w:r>
    </w:p>
    <w:p>
      <w:pPr>
        <w:spacing w:line="540" w:lineRule="exact"/>
        <w:ind w:firstLine="640" w:firstLineChars="200"/>
        <w:rPr>
          <w:rFonts w:ascii="仿宋_GB2312" w:hAnsi="华文宋体" w:eastAsia="仿宋_GB2312" w:cs="华文宋体"/>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做大农业品牌。</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突出发展优势特色农业，强化绿色品牌创建，重点打造富硒大米、名口茅蔗糖、乐平白茶等品牌；</w:t>
      </w:r>
      <w:r>
        <w:rPr>
          <w:rFonts w:hint="eastAsia" w:ascii="仿宋_GB2312" w:eastAsia="仿宋_GB2312"/>
          <w:b w:val="0"/>
          <w:bCs w:val="0"/>
          <w:color w:val="000000" w:themeColor="text1"/>
          <w:kern w:val="21"/>
          <w:sz w:val="32"/>
          <w:szCs w:val="32"/>
          <w14:textFill>
            <w14:solidFill>
              <w14:schemeClr w14:val="tx1"/>
            </w14:solidFill>
          </w14:textFill>
        </w:rPr>
        <w:t>持续鼓励镇村根据资源禀赋、产业基础，打造莲子、</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茅蔗</w:t>
      </w:r>
      <w:r>
        <w:rPr>
          <w:rFonts w:hint="eastAsia" w:ascii="仿宋_GB2312" w:eastAsia="仿宋_GB2312"/>
          <w:b w:val="0"/>
          <w:bCs w:val="0"/>
          <w:color w:val="000000" w:themeColor="text1"/>
          <w:kern w:val="21"/>
          <w:sz w:val="32"/>
          <w:szCs w:val="32"/>
          <w14:textFill>
            <w14:solidFill>
              <w14:schemeClr w14:val="tx1"/>
            </w14:solidFill>
          </w14:textFill>
        </w:rPr>
        <w:t>糖、芡实等“一乡一业、一村一品”品牌，</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唱响乐平桃酥、洄田排粉、塔前窖酒等传统非遗传承品牌。</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做好兴菜富民。唱响用活“江南菜乡、国家级现代农业示范区”两张特色名片，巩固提升老菜区，发展壮大新菜区，形成优化配置、合理规划的蔬菜种植格局。以现代农业示范园区为主载体，集中打造核心区，推进扩大辐射区，引领带动示范区，重点发展壮大农业龙头企业，建立完善企业连园区带农户的利益联结机制，有效提高农业附加值。不断扩大“生态乐安江、绿色农产品”市场认知度和影响力，利用“互联网+”积极发展物流配送、连锁经营、电子商务等新型流通业态，着力推进农超对接、产销衔接等快捷便民的“从农田到餐桌”“点对点”式营销模式。</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做强销售链条。</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全面打通蔬菜</w:t>
      </w:r>
      <w:r>
        <w:rPr>
          <w:rFonts w:hint="eastAsia" w:ascii="仿宋_GB2312" w:hAnsi="华文宋体" w:eastAsia="仿宋_GB2312" w:cs="华文宋体"/>
          <w:b w:val="0"/>
          <w:bCs w:val="0"/>
          <w:color w:val="FF0000"/>
          <w:kern w:val="21"/>
          <w:sz w:val="32"/>
          <w:szCs w:val="32"/>
        </w:rPr>
        <w:t>等</w:t>
      </w:r>
      <w:r>
        <w:rPr>
          <w:rFonts w:hint="eastAsia" w:ascii="仿宋_GB2312" w:hAnsi="华文宋体" w:eastAsia="仿宋_GB2312" w:cs="华文宋体"/>
          <w:b w:val="0"/>
          <w:bCs w:val="0"/>
          <w:color w:val="000000" w:themeColor="text1"/>
          <w:kern w:val="21"/>
          <w:sz w:val="32"/>
          <w:szCs w:val="32"/>
          <w14:textFill>
            <w14:solidFill>
              <w14:schemeClr w14:val="tx1"/>
            </w14:solidFill>
          </w14:textFill>
        </w:rPr>
        <w:t>农产品销售链条，发展品牌化、集约化、订单式的农业，积极推进有关项目建设，打造工业化、标准化</w:t>
      </w:r>
      <w:r>
        <w:rPr>
          <w:rFonts w:hint="eastAsia" w:ascii="仿宋_GB2312" w:hAnsi="华文宋体" w:eastAsia="仿宋_GB2312" w:cs="华文宋体"/>
          <w:b w:val="0"/>
          <w:bCs w:val="0"/>
          <w:color w:val="000000" w:themeColor="text1"/>
          <w:spacing w:val="-6"/>
          <w:kern w:val="21"/>
          <w:sz w:val="32"/>
          <w:szCs w:val="32"/>
          <w14:textFill>
            <w14:solidFill>
              <w14:schemeClr w14:val="tx1"/>
            </w14:solidFill>
          </w14:textFill>
        </w:rPr>
        <w:t>、覆盖全国的“乐平菜”，创建推广</w:t>
      </w:r>
      <w:r>
        <w:rPr>
          <w:rFonts w:hint="eastAsia" w:ascii="仿宋_GB2312" w:eastAsia="仿宋_GB2312"/>
          <w:b w:val="0"/>
          <w:bCs w:val="0"/>
          <w:color w:val="000000" w:themeColor="text1"/>
          <w:spacing w:val="-6"/>
          <w:kern w:val="21"/>
          <w:sz w:val="32"/>
          <w:szCs w:val="32"/>
          <w14:textFill>
            <w14:solidFill>
              <w14:schemeClr w14:val="tx1"/>
            </w14:solidFill>
          </w14:textFill>
        </w:rPr>
        <w:t>“江南菜乡”区域公共品牌。</w:t>
      </w:r>
    </w:p>
    <w:p>
      <w:pPr>
        <w:spacing w:line="540" w:lineRule="exact"/>
        <w:ind w:firstLine="640" w:firstLineChars="200"/>
        <w:rPr>
          <w:rFonts w:ascii="楷体_GB2312" w:hAnsi="黑体" w:eastAsia="楷体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47.深化农业农村改革。</w:t>
      </w:r>
      <w:r>
        <w:rPr>
          <w:rFonts w:ascii="仿宋_GB2312" w:eastAsia="仿宋_GB2312"/>
          <w:b w:val="0"/>
          <w:bCs w:val="0"/>
          <w:color w:val="000000" w:themeColor="text1"/>
          <w:kern w:val="21"/>
          <w:sz w:val="32"/>
          <w:szCs w:val="32"/>
          <w14:textFill>
            <w14:solidFill>
              <w14:schemeClr w14:val="tx1"/>
            </w14:solidFill>
          </w14:textFill>
        </w:rPr>
        <w:t>推进农村土地制度改革，落实第二轮土地承包到期后再延长30年政策</w:t>
      </w:r>
      <w:r>
        <w:rPr>
          <w:rFonts w:hint="eastAsia" w:ascii="仿宋_GB2312" w:eastAsia="仿宋_GB2312"/>
          <w:b w:val="0"/>
          <w:bCs w:val="0"/>
          <w:color w:val="000000" w:themeColor="text1"/>
          <w:kern w:val="21"/>
          <w:sz w:val="32"/>
          <w:szCs w:val="32"/>
          <w14:textFill>
            <w14:solidFill>
              <w14:schemeClr w14:val="tx1"/>
            </w14:solidFill>
          </w14:textFill>
        </w:rPr>
        <w:t>，发展农业新业态，延伸农业产业链和价值链</w:t>
      </w:r>
      <w:r>
        <w:rPr>
          <w:rFonts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完善机制。</w:t>
      </w:r>
      <w:r>
        <w:rPr>
          <w:rFonts w:ascii="仿宋_GB2312" w:eastAsia="仿宋_GB2312"/>
          <w:b w:val="0"/>
          <w:bCs w:val="0"/>
          <w:color w:val="000000" w:themeColor="text1"/>
          <w:kern w:val="21"/>
          <w:sz w:val="32"/>
          <w:szCs w:val="32"/>
          <w14:textFill>
            <w14:solidFill>
              <w14:schemeClr w14:val="tx1"/>
            </w14:solidFill>
          </w14:textFill>
        </w:rPr>
        <w:t>健全城乡统一的建设用地市场，积极稳妥实施农村集体经营性建设用地入市制度，建立土地征收公共利益用地认定机制，缩小土地征收范围。</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深化改革。</w:t>
      </w:r>
      <w:r>
        <w:rPr>
          <w:rFonts w:ascii="仿宋_GB2312" w:eastAsia="仿宋_GB2312"/>
          <w:b w:val="0"/>
          <w:bCs w:val="0"/>
          <w:color w:val="000000" w:themeColor="text1"/>
          <w:kern w:val="21"/>
          <w:sz w:val="32"/>
          <w:szCs w:val="32"/>
          <w14:textFill>
            <w14:solidFill>
              <w14:schemeClr w14:val="tx1"/>
            </w14:solidFill>
          </w14:textFill>
        </w:rPr>
        <w:t>深化农村集体产权制度、集体林权制度改革</w:t>
      </w:r>
      <w:r>
        <w:rPr>
          <w:rFonts w:hint="eastAsia" w:ascii="仿宋_GB2312" w:eastAsia="仿宋_GB2312"/>
          <w:b w:val="0"/>
          <w:bCs w:val="0"/>
          <w:color w:val="000000" w:themeColor="text1"/>
          <w:kern w:val="21"/>
          <w:sz w:val="32"/>
          <w:szCs w:val="32"/>
          <w14:textFill>
            <w14:solidFill>
              <w14:schemeClr w14:val="tx1"/>
            </w14:solidFill>
          </w14:textFill>
        </w:rPr>
        <w:t>、土地制度改革、人才体制改革</w:t>
      </w:r>
      <w:r>
        <w:rPr>
          <w:rFonts w:ascii="仿宋_GB2312" w:eastAsia="仿宋_GB2312"/>
          <w:b w:val="0"/>
          <w:bCs w:val="0"/>
          <w:color w:val="000000" w:themeColor="text1"/>
          <w:kern w:val="21"/>
          <w:sz w:val="32"/>
          <w:szCs w:val="32"/>
          <w14:textFill>
            <w14:solidFill>
              <w14:schemeClr w14:val="tx1"/>
            </w14:solidFill>
          </w14:textFill>
        </w:rPr>
        <w:t>，盘活农村资产资源，发展壮大新型农村集体经济。探索宅基地所有权、资格权、使用权分置实现形式。保障进城落户农民土地承包权、宅基地使用权、集体收益分配权，鼓励依法自愿有偿流转。</w:t>
      </w:r>
      <w:r>
        <w:rPr>
          <w:rFonts w:hint="eastAsia" w:ascii="仿宋_GB2312" w:eastAsia="仿宋_GB2312"/>
          <w:b w:val="0"/>
          <w:bCs w:val="0"/>
          <w:color w:val="000000" w:themeColor="text1"/>
          <w:kern w:val="21"/>
          <w:sz w:val="32"/>
          <w:szCs w:val="32"/>
          <w14:textFill>
            <w14:solidFill>
              <w14:schemeClr w14:val="tx1"/>
            </w14:solidFill>
          </w14:textFill>
        </w:rPr>
        <w:t>建设新型职业农民队伍。</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创优模式。</w:t>
      </w:r>
      <w:r>
        <w:rPr>
          <w:rFonts w:ascii="仿宋_GB2312" w:eastAsia="仿宋_GB2312"/>
          <w:b w:val="0"/>
          <w:bCs w:val="0"/>
          <w:color w:val="000000" w:themeColor="text1"/>
          <w:kern w:val="21"/>
          <w:sz w:val="32"/>
          <w:szCs w:val="32"/>
          <w14:textFill>
            <w14:solidFill>
              <w14:schemeClr w14:val="tx1"/>
            </w14:solidFill>
          </w14:textFill>
        </w:rPr>
        <w:t>推广农户+专业合作社+基地+协会</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四位一体</w:t>
      </w:r>
      <w:r>
        <w:rPr>
          <w:rFonts w:hint="eastAsia" w:ascii="仿宋_GB2312" w:eastAsia="仿宋_GB2312"/>
          <w:b w:val="0"/>
          <w:bCs w:val="0"/>
          <w:color w:val="000000" w:themeColor="text1"/>
          <w:kern w:val="21"/>
          <w:sz w:val="32"/>
          <w:szCs w:val="32"/>
          <w14:textFill>
            <w14:solidFill>
              <w14:schemeClr w14:val="tx1"/>
            </w14:solidFill>
          </w14:textFill>
        </w:rPr>
        <w:t>”</w:t>
      </w:r>
      <w:r>
        <w:rPr>
          <w:rFonts w:ascii="仿宋_GB2312" w:eastAsia="仿宋_GB2312"/>
          <w:b w:val="0"/>
          <w:bCs w:val="0"/>
          <w:color w:val="000000" w:themeColor="text1"/>
          <w:kern w:val="21"/>
          <w:sz w:val="32"/>
          <w:szCs w:val="32"/>
          <w14:textFill>
            <w14:solidFill>
              <w14:schemeClr w14:val="tx1"/>
            </w14:solidFill>
          </w14:textFill>
        </w:rPr>
        <w:t>生产经营模式，加快培育家庭农场、农民合作社等新型农业经营主体</w:t>
      </w:r>
      <w:r>
        <w:rPr>
          <w:rFonts w:hint="eastAsia" w:ascii="仿宋_GB2312" w:eastAsia="仿宋_GB2312"/>
          <w:b w:val="0"/>
          <w:bCs w:val="0"/>
          <w:color w:val="000000" w:themeColor="text1"/>
          <w:kern w:val="21"/>
          <w:sz w:val="32"/>
          <w:szCs w:val="32"/>
          <w14:textFill>
            <w14:solidFill>
              <w14:schemeClr w14:val="tx1"/>
            </w14:solidFill>
          </w14:textFill>
        </w:rPr>
        <w:t>，实现小农户和现代农业有机衔接</w:t>
      </w:r>
      <w:r>
        <w:rPr>
          <w:rFonts w:ascii="仿宋_GB2312" w:eastAsia="仿宋_GB2312"/>
          <w:b w:val="0"/>
          <w:bCs w:val="0"/>
          <w:color w:val="000000" w:themeColor="text1"/>
          <w:kern w:val="21"/>
          <w:sz w:val="32"/>
          <w:szCs w:val="32"/>
          <w14:textFill>
            <w14:solidFill>
              <w14:schemeClr w14:val="tx1"/>
            </w14:solidFill>
          </w14:textFill>
        </w:rPr>
        <w:t>。</w:t>
      </w:r>
    </w:p>
    <w:p>
      <w:pPr>
        <w:spacing w:line="540" w:lineRule="exact"/>
        <w:ind w:firstLine="640" w:firstLineChars="200"/>
        <w:rPr>
          <w:rFonts w:ascii="楷体_GB2312" w:eastAsia="楷体_GB2312"/>
          <w:b w:val="0"/>
          <w:bCs w:val="0"/>
          <w:color w:val="000000" w:themeColor="text1"/>
          <w:kern w:val="21"/>
          <w:sz w:val="32"/>
          <w:szCs w:val="32"/>
          <w14:textFill>
            <w14:solidFill>
              <w14:schemeClr w14:val="tx1"/>
            </w14:solidFill>
          </w14:textFill>
        </w:rPr>
      </w:pPr>
      <w:r>
        <w:rPr>
          <w:rFonts w:hint="eastAsia" w:ascii="楷体_GB2312" w:hAnsi="黑体" w:eastAsia="楷体_GB2312"/>
          <w:b w:val="0"/>
          <w:bCs w:val="0"/>
          <w:color w:val="000000" w:themeColor="text1"/>
          <w:kern w:val="21"/>
          <w:sz w:val="32"/>
          <w:szCs w:val="32"/>
          <w14:textFill>
            <w14:solidFill>
              <w14:schemeClr w14:val="tx1"/>
            </w14:solidFill>
          </w14:textFill>
        </w:rPr>
        <w:t>48.</w:t>
      </w:r>
      <w:r>
        <w:rPr>
          <w:rFonts w:hint="eastAsia" w:ascii="楷体_GB2312" w:eastAsia="楷体_GB2312"/>
          <w:b w:val="0"/>
          <w:bCs w:val="0"/>
          <w:color w:val="000000" w:themeColor="text1"/>
          <w:kern w:val="21"/>
          <w:sz w:val="32"/>
          <w:szCs w:val="32"/>
          <w14:textFill>
            <w14:solidFill>
              <w14:schemeClr w14:val="tx1"/>
            </w14:solidFill>
          </w14:textFill>
        </w:rPr>
        <w:t>加快美丽乡村建设。</w:t>
      </w:r>
      <w:r>
        <w:rPr>
          <w:rFonts w:hint="eastAsia" w:ascii="仿宋_GB2312" w:eastAsia="仿宋_GB2312"/>
          <w:b w:val="0"/>
          <w:bCs w:val="0"/>
          <w:color w:val="000000" w:themeColor="text1"/>
          <w:kern w:val="21"/>
          <w:sz w:val="32"/>
          <w:szCs w:val="32"/>
          <w14:textFill>
            <w14:solidFill>
              <w14:schemeClr w14:val="tx1"/>
            </w14:solidFill>
          </w14:textFill>
        </w:rPr>
        <w:t>紧紧围绕乡村振兴战略的总要求，加大</w:t>
      </w:r>
      <w:r>
        <w:rPr>
          <w:rFonts w:ascii="仿宋_GB2312" w:eastAsia="仿宋_GB2312"/>
          <w:b w:val="0"/>
          <w:bCs w:val="0"/>
          <w:color w:val="000000" w:themeColor="text1"/>
          <w:kern w:val="21"/>
          <w:sz w:val="32"/>
          <w:szCs w:val="32"/>
          <w14:textFill>
            <w14:solidFill>
              <w14:schemeClr w14:val="tx1"/>
            </w14:solidFill>
          </w14:textFill>
        </w:rPr>
        <w:t>保护传统村落和乡村风貌</w:t>
      </w:r>
      <w:r>
        <w:rPr>
          <w:rFonts w:hint="eastAsia" w:ascii="仿宋_GB2312" w:eastAsia="仿宋_GB2312"/>
          <w:b w:val="0"/>
          <w:bCs w:val="0"/>
          <w:color w:val="000000" w:themeColor="text1"/>
          <w:kern w:val="21"/>
          <w:sz w:val="32"/>
          <w:szCs w:val="32"/>
          <w14:textFill>
            <w14:solidFill>
              <w14:schemeClr w14:val="tx1"/>
            </w14:solidFill>
          </w14:textFill>
        </w:rPr>
        <w:t>力度，统筹乐平城乡实际，发挥资源禀赋，展现绿色乐平、美丽乡村新面貌。</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补齐短板。持续开展村庄整治和美丽宜居示范建设，进一步完善乡村基础设施，重点提高自来水、公共照明、客运、快递网点等覆盖面，补齐基础设施短板。</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洁净环境。因地制宜推进农村改厕、生活垃圾分类处理和污水治理，开展村庄和庭院美化，提升农房建设质量，改善农村人居环境。</w:t>
      </w:r>
    </w:p>
    <w:p>
      <w:pPr>
        <w:spacing w:line="540" w:lineRule="exact"/>
        <w:ind w:firstLine="640" w:firstLineChars="200"/>
        <w:rPr>
          <w:rFonts w:ascii="仿宋_GB2312" w:eastAsia="仿宋_GB2312"/>
          <w:b w:val="0"/>
          <w:bCs w:val="0"/>
          <w:color w:val="000000" w:themeColor="text1"/>
          <w:kern w:val="21"/>
          <w:sz w:val="32"/>
          <w:szCs w:val="32"/>
          <w14:textFill>
            <w14:solidFill>
              <w14:schemeClr w14:val="tx1"/>
            </w14:solidFill>
          </w14:textFill>
        </w:rPr>
      </w:pPr>
      <w:r>
        <w:rPr>
          <w:rFonts w:hint="eastAsia" w:ascii="仿宋_GB2312" w:eastAsia="仿宋_GB2312"/>
          <w:b w:val="0"/>
          <w:bCs w:val="0"/>
          <w:color w:val="000000" w:themeColor="text1"/>
          <w:kern w:val="21"/>
          <w:sz w:val="32"/>
          <w:szCs w:val="32"/>
          <w14:textFill>
            <w14:solidFill>
              <w14:schemeClr w14:val="tx1"/>
            </w14:solidFill>
          </w14:textFill>
        </w:rPr>
        <w:t>文明乡风。推行村级事务阳光工程，完善多功能农村便民公共服务平台。丰富农村精神文化生活，深入推进移风易俗，大力弘扬文明乡风。提高农民科技文化素质，推动乡村人才振兴，培养造就懂农业、爱农村、爱农民的“三农”工作队伍。</w:t>
      </w:r>
    </w:p>
    <w:p>
      <w:pPr>
        <w:pStyle w:val="3"/>
        <w:spacing w:after="0" w:line="540" w:lineRule="exact"/>
        <w:ind w:firstLine="640" w:firstLineChars="200"/>
        <w:rPr>
          <w:rFonts w:eastAsia="黑体"/>
          <w:b w:val="0"/>
          <w:bCs w:val="0"/>
          <w:color w:val="000000" w:themeColor="text1"/>
          <w:kern w:val="21"/>
          <w:sz w:val="32"/>
          <w:szCs w:val="32"/>
          <w14:textFill>
            <w14:solidFill>
              <w14:schemeClr w14:val="tx1"/>
            </w14:solidFill>
          </w14:textFill>
        </w:rPr>
      </w:pPr>
      <w:r>
        <w:rPr>
          <w:rFonts w:hint="eastAsia" w:eastAsia="黑体"/>
          <w:b w:val="0"/>
          <w:bCs w:val="0"/>
          <w:color w:val="000000" w:themeColor="text1"/>
          <w:kern w:val="21"/>
          <w:sz w:val="32"/>
          <w:szCs w:val="32"/>
          <w14:textFill>
            <w14:solidFill>
              <w14:schemeClr w14:val="tx1"/>
            </w14:solidFill>
          </w14:textFill>
        </w:rPr>
        <w:t>十四、坚持和加强党的全面领导，团结带领全市人民为实现“十四五”规划和二〇三五远景目标而持续奋斗</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ascii="仿宋_GB2312" w:hAnsi="Tahoma" w:eastAsia="仿宋_GB2312" w:cstheme="minorBidi"/>
          <w:b w:val="0"/>
          <w:bCs w:val="0"/>
          <w:color w:val="000000" w:themeColor="text1"/>
          <w:kern w:val="21"/>
          <w:sz w:val="32"/>
          <w:szCs w:val="32"/>
          <w14:textFill>
            <w14:solidFill>
              <w14:schemeClr w14:val="tx1"/>
            </w14:solidFill>
          </w14:textFill>
        </w:rPr>
        <w:t>实现</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“十四五”</w:t>
      </w:r>
      <w:r>
        <w:rPr>
          <w:rFonts w:ascii="仿宋_GB2312" w:hAnsi="Tahoma" w:eastAsia="仿宋_GB2312" w:cstheme="minorBidi"/>
          <w:b w:val="0"/>
          <w:bCs w:val="0"/>
          <w:color w:val="000000" w:themeColor="text1"/>
          <w:kern w:val="21"/>
          <w:sz w:val="32"/>
          <w:szCs w:val="32"/>
          <w14:textFill>
            <w14:solidFill>
              <w14:schemeClr w14:val="tx1"/>
            </w14:solidFill>
          </w14:textFill>
        </w:rPr>
        <w:t>规划和2035年远景目标，必须把党的全面领导贯穿始终，充分调动一切积极因素，广泛团结</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全市</w:t>
      </w:r>
      <w:r>
        <w:rPr>
          <w:rFonts w:ascii="仿宋_GB2312" w:hAnsi="Tahoma" w:eastAsia="仿宋_GB2312" w:cstheme="minorBidi"/>
          <w:b w:val="0"/>
          <w:bCs w:val="0"/>
          <w:color w:val="000000" w:themeColor="text1"/>
          <w:kern w:val="21"/>
          <w:sz w:val="32"/>
          <w:szCs w:val="32"/>
          <w14:textFill>
            <w14:solidFill>
              <w14:schemeClr w14:val="tx1"/>
            </w14:solidFill>
          </w14:textFill>
        </w:rPr>
        <w:t>一切可以团结的力量，凝聚形成推动</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乐平高质量跨越式</w:t>
      </w:r>
      <w:r>
        <w:rPr>
          <w:rFonts w:ascii="仿宋_GB2312" w:hAnsi="Tahoma" w:eastAsia="仿宋_GB2312" w:cstheme="minorBidi"/>
          <w:b w:val="0"/>
          <w:bCs w:val="0"/>
          <w:color w:val="000000" w:themeColor="text1"/>
          <w:kern w:val="21"/>
          <w:sz w:val="32"/>
          <w:szCs w:val="32"/>
          <w14:textFill>
            <w14:solidFill>
              <w14:schemeClr w14:val="tx1"/>
            </w14:solidFill>
          </w14:textFill>
        </w:rPr>
        <w:t>发展的强大合力。</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hint="eastAsia" w:ascii="楷体_GB2312" w:eastAsia="楷体_GB2312" w:cstheme="minorBidi"/>
          <w:b w:val="0"/>
          <w:bCs w:val="0"/>
          <w:color w:val="000000" w:themeColor="text1"/>
          <w:kern w:val="21"/>
          <w:sz w:val="32"/>
          <w:szCs w:val="32"/>
          <w14:textFill>
            <w14:solidFill>
              <w14:schemeClr w14:val="tx1"/>
            </w14:solidFill>
          </w14:textFill>
        </w:rPr>
        <w:t>49</w:t>
      </w:r>
      <w:r>
        <w:rPr>
          <w:rFonts w:ascii="楷体_GB2312" w:eastAsia="楷体_GB2312" w:cstheme="minorBidi"/>
          <w:b w:val="0"/>
          <w:bCs w:val="0"/>
          <w:color w:val="000000" w:themeColor="text1"/>
          <w:kern w:val="21"/>
          <w:sz w:val="32"/>
          <w:szCs w:val="32"/>
          <w14:textFill>
            <w14:solidFill>
              <w14:schemeClr w14:val="tx1"/>
            </w14:solidFill>
          </w14:textFill>
        </w:rPr>
        <w:t>.</w:t>
      </w:r>
      <w:r>
        <w:rPr>
          <w:rFonts w:hint="eastAsia" w:ascii="楷体_GB2312" w:eastAsia="楷体_GB2312" w:cstheme="minorBidi"/>
          <w:b w:val="0"/>
          <w:bCs w:val="0"/>
          <w:color w:val="000000" w:themeColor="text1"/>
          <w:kern w:val="21"/>
          <w:sz w:val="32"/>
          <w:szCs w:val="32"/>
          <w14:textFill>
            <w14:solidFill>
              <w14:schemeClr w14:val="tx1"/>
            </w14:solidFill>
          </w14:textFill>
        </w:rPr>
        <w:t>坚决维护党中央权威和集中统一领导。</w:t>
      </w:r>
      <w:r>
        <w:rPr>
          <w:rFonts w:ascii="仿宋_GB2312" w:hAnsi="Tahoma" w:eastAsia="仿宋_GB2312" w:cstheme="minorBidi"/>
          <w:b w:val="0"/>
          <w:bCs w:val="0"/>
          <w:color w:val="000000" w:themeColor="text1"/>
          <w:kern w:val="21"/>
          <w:sz w:val="32"/>
          <w:szCs w:val="32"/>
          <w14:textFill>
            <w14:solidFill>
              <w14:schemeClr w14:val="tx1"/>
            </w14:solidFill>
          </w14:textFill>
        </w:rPr>
        <w:t>坚持政治站位，加强对党忠诚教育，推动全</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市</w:t>
      </w:r>
      <w:r>
        <w:rPr>
          <w:rFonts w:ascii="仿宋_GB2312" w:hAnsi="Tahoma" w:eastAsia="仿宋_GB2312" w:cstheme="minorBidi"/>
          <w:b w:val="0"/>
          <w:bCs w:val="0"/>
          <w:color w:val="000000" w:themeColor="text1"/>
          <w:kern w:val="21"/>
          <w:sz w:val="32"/>
          <w:szCs w:val="32"/>
          <w14:textFill>
            <w14:solidFill>
              <w14:schemeClr w14:val="tx1"/>
            </w14:solidFill>
          </w14:textFill>
        </w:rPr>
        <w:t>各级党组织和广大党员干部增强</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四个意识</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、坚定</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四个自信</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、做到</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两个维护</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坚决同一切偏离</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两个维护</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的错误言行作斗争。完善推动习近平总书记重要指示批示和党中央决策部署落实机制，严格请示报告制度，确保党中央政令畅通、令行禁止。</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hint="eastAsia" w:ascii="楷体_GB2312" w:eastAsia="楷体_GB2312" w:cstheme="minorBidi"/>
          <w:b w:val="0"/>
          <w:bCs w:val="0"/>
          <w:color w:val="000000" w:themeColor="text1"/>
          <w:kern w:val="21"/>
          <w:sz w:val="32"/>
          <w:szCs w:val="32"/>
          <w14:textFill>
            <w14:solidFill>
              <w14:schemeClr w14:val="tx1"/>
            </w14:solidFill>
          </w14:textFill>
        </w:rPr>
        <w:t>50.强化党的创新理论武装。</w:t>
      </w:r>
      <w:r>
        <w:rPr>
          <w:rFonts w:ascii="仿宋_GB2312" w:hAnsi="Tahoma" w:eastAsia="仿宋_GB2312" w:cstheme="minorBidi"/>
          <w:b w:val="0"/>
          <w:bCs w:val="0"/>
          <w:color w:val="000000" w:themeColor="text1"/>
          <w:kern w:val="21"/>
          <w:sz w:val="32"/>
          <w:szCs w:val="32"/>
          <w14:textFill>
            <w14:solidFill>
              <w14:schemeClr w14:val="tx1"/>
            </w14:solidFill>
          </w14:textFill>
        </w:rPr>
        <w:t>把深入学习贯彻习近平新时代中国特色社会主义思想作为重大政治任务，与学习贯彻习近平总书记重要指示</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批示</w:t>
      </w:r>
      <w:r>
        <w:rPr>
          <w:rFonts w:ascii="仿宋_GB2312" w:hAnsi="Tahoma" w:eastAsia="仿宋_GB2312" w:cstheme="minorBidi"/>
          <w:b w:val="0"/>
          <w:bCs w:val="0"/>
          <w:color w:val="000000" w:themeColor="text1"/>
          <w:kern w:val="21"/>
          <w:sz w:val="32"/>
          <w:szCs w:val="32"/>
          <w14:textFill>
            <w14:solidFill>
              <w14:schemeClr w14:val="tx1"/>
            </w14:solidFill>
          </w14:textFill>
        </w:rPr>
        <w:t>结合起来，掌握贯穿其中的马克思主义立场、观点、方法，在学懂弄通做实上下功夫、见成效。加强和改进党委（党组）理论学习中心组学习，发挥领导干部表率作用。健全干部理论培训常态长效机制，提高政治能力、调查研究能力、科学决策能力、改革攻坚能力、应急处突能力、群众工作能力、抓落实能力。认真落实不忘初心、牢记使命制度，锤炼忠诚干净担当的政治品格</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，切实增强推进规划落实的政治本领</w:t>
      </w:r>
      <w:r>
        <w:rPr>
          <w:rFonts w:ascii="仿宋_GB2312" w:hAnsi="Tahoma" w:eastAsia="仿宋_GB2312" w:cstheme="minorBidi"/>
          <w:b w:val="0"/>
          <w:bCs w:val="0"/>
          <w:color w:val="000000" w:themeColor="text1"/>
          <w:kern w:val="21"/>
          <w:sz w:val="32"/>
          <w:szCs w:val="32"/>
          <w14:textFill>
            <w14:solidFill>
              <w14:schemeClr w14:val="tx1"/>
            </w14:solidFill>
          </w14:textFill>
        </w:rPr>
        <w:t>。</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hint="eastAsia" w:ascii="楷体_GB2312" w:eastAsia="楷体_GB2312" w:cstheme="minorBidi"/>
          <w:b w:val="0"/>
          <w:bCs w:val="0"/>
          <w:color w:val="000000" w:themeColor="text1"/>
          <w:kern w:val="21"/>
          <w:sz w:val="32"/>
          <w:szCs w:val="32"/>
          <w14:textFill>
            <w14:solidFill>
              <w14:schemeClr w14:val="tx1"/>
            </w14:solidFill>
          </w14:textFill>
        </w:rPr>
        <w:t>51.坚持和加强党的全面领导。</w:t>
      </w:r>
      <w:r>
        <w:rPr>
          <w:rFonts w:ascii="仿宋_GB2312" w:hAnsi="Tahoma" w:eastAsia="仿宋_GB2312" w:cstheme="minorBidi"/>
          <w:b w:val="0"/>
          <w:bCs w:val="0"/>
          <w:color w:val="000000" w:themeColor="text1"/>
          <w:kern w:val="21"/>
          <w:sz w:val="32"/>
          <w:szCs w:val="32"/>
          <w14:textFill>
            <w14:solidFill>
              <w14:schemeClr w14:val="tx1"/>
            </w14:solidFill>
          </w14:textFill>
        </w:rPr>
        <w:t>贯彻党把方向、谋大局、定政策、促改革的要求，把党的领导贯彻到经济社会发展全过程各方面。健全全面从严治党制度，落实党委（党组）主体责任、党委（党组）书记第一责任人责任、纪委监委监督责任和班子成员一岗双责。落实新时代党的组织路线，选好配强各级领导班子和领导干部，加快干部年轻化进程，激励广大干部担当作为</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，扎实开展基层党建“三化”建设</w:t>
      </w:r>
      <w:r>
        <w:rPr>
          <w:rFonts w:ascii="仿宋_GB2312" w:hAnsi="Tahoma" w:eastAsia="仿宋_GB2312" w:cstheme="minorBidi"/>
          <w:b w:val="0"/>
          <w:bCs w:val="0"/>
          <w:color w:val="000000" w:themeColor="text1"/>
          <w:kern w:val="21"/>
          <w:sz w:val="32"/>
          <w:szCs w:val="32"/>
          <w14:textFill>
            <w14:solidFill>
              <w14:schemeClr w14:val="tx1"/>
            </w14:solidFill>
          </w14:textFill>
        </w:rPr>
        <w:t>。完善党和国家监督体系，加强对</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一把手</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和领导班子的监督。深化常态化政治性警示教育，加强政治巡视巡察，一体推进不敢腐、不能腐、不想腐，营造风清气正的良好政治生态。</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hint="eastAsia" w:ascii="楷体_GB2312" w:eastAsia="楷体_GB2312" w:cstheme="minorBidi"/>
          <w:b w:val="0"/>
          <w:bCs w:val="0"/>
          <w:color w:val="000000" w:themeColor="text1"/>
          <w:kern w:val="21"/>
          <w:sz w:val="32"/>
          <w:szCs w:val="32"/>
          <w14:textFill>
            <w14:solidFill>
              <w14:schemeClr w14:val="tx1"/>
            </w14:solidFill>
          </w14:textFill>
        </w:rPr>
        <w:t>52.扎实推进社会主义政治建设。</w:t>
      </w:r>
      <w:r>
        <w:rPr>
          <w:rFonts w:ascii="仿宋_GB2312" w:hAnsi="Tahoma" w:eastAsia="仿宋_GB2312" w:cstheme="minorBidi"/>
          <w:b w:val="0"/>
          <w:bCs w:val="0"/>
          <w:color w:val="000000" w:themeColor="text1"/>
          <w:kern w:val="21"/>
          <w:sz w:val="32"/>
          <w:szCs w:val="32"/>
          <w14:textFill>
            <w14:solidFill>
              <w14:schemeClr w14:val="tx1"/>
            </w14:solidFill>
          </w14:textFill>
        </w:rPr>
        <w:t>坚持党的领导、人民当家作主、依法治国有机统一，坚定不移走中国特色社会主义政治发展道路</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，凝聚推动“十四五”规划落实的强大合力</w:t>
      </w:r>
      <w:r>
        <w:rPr>
          <w:rFonts w:ascii="仿宋_GB2312" w:hAnsi="Tahoma" w:eastAsia="仿宋_GB2312" w:cstheme="minorBidi"/>
          <w:b w:val="0"/>
          <w:bCs w:val="0"/>
          <w:color w:val="000000" w:themeColor="text1"/>
          <w:kern w:val="21"/>
          <w:sz w:val="32"/>
          <w:szCs w:val="32"/>
          <w14:textFill>
            <w14:solidFill>
              <w14:schemeClr w14:val="tx1"/>
            </w14:solidFill>
          </w14:textFill>
        </w:rPr>
        <w:t>。坚持人民代表大会制度，加强对</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一府一委两院</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的监督，提高人大履职能力，增强人大整体功效。坚持中国共产党领导的多党合作和政治协商制度，加强人民政协专门协商机构建设，提高政治协商、民主监督、参政议政水平，更好凝聚共识。健全基层群众自治制度，提高基层治理水平。完善大统战工作格局，发挥统一战线凝心聚力的优势和作用。全面贯彻党的宗教工作基本方针，持续深化宗教治理，加强工会、共青团、妇联等群团组织建设，健全联系广泛、服务群众的群团工作体系。</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hint="eastAsia" w:ascii="楷体_GB2312" w:eastAsia="楷体_GB2312" w:cstheme="minorBidi"/>
          <w:b w:val="0"/>
          <w:bCs w:val="0"/>
          <w:color w:val="000000" w:themeColor="text1"/>
          <w:kern w:val="21"/>
          <w:sz w:val="32"/>
          <w:szCs w:val="32"/>
          <w14:textFill>
            <w14:solidFill>
              <w14:schemeClr w14:val="tx1"/>
            </w14:solidFill>
          </w14:textFill>
        </w:rPr>
        <w:t>53.加快建设法治乐平。</w:t>
      </w:r>
      <w:r>
        <w:rPr>
          <w:rFonts w:hint="eastAsia" w:ascii="仿宋_GB2312" w:eastAsia="仿宋_GB2312"/>
          <w:b w:val="0"/>
          <w:bCs w:val="0"/>
          <w:color w:val="000000" w:themeColor="text1"/>
          <w:kern w:val="21"/>
          <w:sz w:val="32"/>
          <w:szCs w:val="32"/>
          <w14:textFill>
            <w14:solidFill>
              <w14:schemeClr w14:val="tx1"/>
            </w14:solidFill>
          </w14:textFill>
        </w:rPr>
        <w:t>深入贯彻习近平法治思想，</w:t>
      </w:r>
      <w:r>
        <w:rPr>
          <w:rFonts w:ascii="仿宋_GB2312" w:hAnsi="Tahoma" w:eastAsia="仿宋_GB2312" w:cstheme="minorBidi"/>
          <w:b w:val="0"/>
          <w:bCs w:val="0"/>
          <w:color w:val="000000" w:themeColor="text1"/>
          <w:kern w:val="21"/>
          <w:sz w:val="32"/>
          <w:szCs w:val="32"/>
          <w14:textFill>
            <w14:solidFill>
              <w14:schemeClr w14:val="tx1"/>
            </w14:solidFill>
          </w14:textFill>
        </w:rPr>
        <w:t>落实全面依法治国方略，</w:t>
      </w:r>
      <w:r>
        <w:rPr>
          <w:rFonts w:hint="eastAsia" w:ascii="仿宋_GB2312" w:eastAsia="仿宋_GB2312"/>
          <w:b w:val="0"/>
          <w:bCs w:val="0"/>
          <w:color w:val="000000" w:themeColor="text1"/>
          <w:kern w:val="21"/>
          <w:sz w:val="32"/>
          <w:szCs w:val="32"/>
          <w14:textFill>
            <w14:solidFill>
              <w14:schemeClr w14:val="tx1"/>
            </w14:solidFill>
          </w14:textFill>
        </w:rPr>
        <w:t>坚定不移走中国特色社会主义法治道路，努力建设更高水平的法治乐平。</w:t>
      </w:r>
      <w:r>
        <w:rPr>
          <w:rFonts w:ascii="仿宋_GB2312" w:hAnsi="Tahoma" w:eastAsia="仿宋_GB2312" w:cstheme="minorBidi"/>
          <w:b w:val="0"/>
          <w:bCs w:val="0"/>
          <w:color w:val="000000" w:themeColor="text1"/>
          <w:kern w:val="21"/>
          <w:sz w:val="32"/>
          <w:szCs w:val="32"/>
          <w14:textFill>
            <w14:solidFill>
              <w14:schemeClr w14:val="tx1"/>
            </w14:solidFill>
          </w14:textFill>
        </w:rPr>
        <w:t>推进科学立法、严格执法、公正司法、全民守法。加强宪法教育，完善监督实施制度。落实司法责任制，确保司法公正高效权威。深入开展法治宣传教育，充分发挥法治</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建</w:t>
      </w:r>
      <w:r>
        <w:rPr>
          <w:rFonts w:hint="eastAsia" w:ascii="仿宋_GB2312" w:hAnsi="Tahoma" w:eastAsia="仿宋_GB2312" w:cstheme="minorBidi"/>
          <w:b w:val="0"/>
          <w:bCs w:val="0"/>
          <w:color w:val="000000" w:themeColor="text1"/>
          <w:spacing w:val="-6"/>
          <w:kern w:val="21"/>
          <w:sz w:val="32"/>
          <w:szCs w:val="32"/>
          <w14:textFill>
            <w14:solidFill>
              <w14:schemeClr w14:val="tx1"/>
            </w14:solidFill>
          </w14:textFill>
        </w:rPr>
        <w:t>设对于“十四五”规划执行</w:t>
      </w:r>
      <w:r>
        <w:rPr>
          <w:rFonts w:ascii="仿宋_GB2312" w:hAnsi="Tahoma" w:eastAsia="仿宋_GB2312" w:cstheme="minorBidi"/>
          <w:b w:val="0"/>
          <w:bCs w:val="0"/>
          <w:color w:val="000000" w:themeColor="text1"/>
          <w:spacing w:val="-6"/>
          <w:kern w:val="21"/>
          <w:sz w:val="32"/>
          <w:szCs w:val="32"/>
          <w14:textFill>
            <w14:solidFill>
              <w14:schemeClr w14:val="tx1"/>
            </w14:solidFill>
          </w14:textFill>
        </w:rPr>
        <w:t>固根本、稳预期、利长远的保障作用。</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hint="eastAsia" w:ascii="楷体_GB2312" w:eastAsia="楷体_GB2312" w:cstheme="minorBidi"/>
          <w:b w:val="0"/>
          <w:bCs w:val="0"/>
          <w:color w:val="000000" w:themeColor="text1"/>
          <w:kern w:val="21"/>
          <w:sz w:val="32"/>
          <w:szCs w:val="32"/>
          <w14:textFill>
            <w14:solidFill>
              <w14:schemeClr w14:val="tx1"/>
            </w14:solidFill>
          </w14:textFill>
        </w:rPr>
        <w:t>54.健全规划制定和落实机制。</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按照党的十九届五中全会精神和市委本次全会部署，充分发挥发展规划战略导向作用，科学制定乐平“十四五”规划纲要，建立健全“多规合一”国土空间规划体系，编制实施各级各类专项规划和方案，形成定位准确、边界清晰、功能互补、统一衔接的规划体系。构建高质量发展指标体系。加快发展规划立法，健全政策协调和工作协同机制，完善规划实施评估机制、调整修订机制、监督考核机制，确保“十四五”发展各项目标任务落到实处。</w:t>
      </w:r>
    </w:p>
    <w:p>
      <w:pPr>
        <w:pStyle w:val="7"/>
        <w:spacing w:line="540" w:lineRule="exact"/>
        <w:ind w:firstLine="640" w:firstLineChars="200"/>
        <w:jc w:val="both"/>
        <w:rPr>
          <w:rFonts w:ascii="仿宋_GB2312" w:hAnsi="Tahoma" w:eastAsia="仿宋_GB2312" w:cstheme="minorBidi"/>
          <w:b w:val="0"/>
          <w:bCs w:val="0"/>
          <w:color w:val="000000" w:themeColor="text1"/>
          <w:kern w:val="21"/>
          <w:sz w:val="32"/>
          <w:szCs w:val="32"/>
          <w14:textFill>
            <w14:solidFill>
              <w14:schemeClr w14:val="tx1"/>
            </w14:solidFill>
          </w14:textFill>
        </w:rPr>
      </w:pPr>
      <w:r>
        <w:rPr>
          <w:rFonts w:ascii="仿宋_GB2312" w:hAnsi="Tahoma" w:eastAsia="仿宋_GB2312" w:cstheme="minorBidi"/>
          <w:b w:val="0"/>
          <w:bCs w:val="0"/>
          <w:color w:val="000000" w:themeColor="text1"/>
          <w:kern w:val="21"/>
          <w:sz w:val="32"/>
          <w:szCs w:val="32"/>
          <w14:textFill>
            <w14:solidFill>
              <w14:schemeClr w14:val="tx1"/>
            </w14:solidFill>
          </w14:textFill>
        </w:rPr>
        <w:t>实现</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w:t>
      </w:r>
      <w:r>
        <w:rPr>
          <w:rFonts w:ascii="仿宋_GB2312" w:hAnsi="Tahoma" w:eastAsia="仿宋_GB2312" w:cstheme="minorBidi"/>
          <w:b w:val="0"/>
          <w:bCs w:val="0"/>
          <w:color w:val="000000" w:themeColor="text1"/>
          <w:kern w:val="21"/>
          <w:sz w:val="32"/>
          <w:szCs w:val="32"/>
          <w14:textFill>
            <w14:solidFill>
              <w14:schemeClr w14:val="tx1"/>
            </w14:solidFill>
          </w14:textFill>
        </w:rPr>
        <w:t>十四</w:t>
      </w:r>
      <w:r>
        <w:rPr>
          <w:rFonts w:hint="eastAsia" w:ascii="仿宋_GB2312" w:hAnsi="仿宋_GB2312" w:eastAsia="仿宋_GB2312" w:cs="仿宋_GB2312"/>
          <w:b w:val="0"/>
          <w:bCs w:val="0"/>
          <w:color w:val="000000" w:themeColor="text1"/>
          <w:kern w:val="21"/>
          <w:sz w:val="32"/>
          <w:szCs w:val="32"/>
          <w14:textFill>
            <w14:solidFill>
              <w14:schemeClr w14:val="tx1"/>
            </w14:solidFill>
          </w14:textFill>
        </w:rPr>
        <w:t>五”规划和二〇三五年远景</w:t>
      </w:r>
      <w:r>
        <w:rPr>
          <w:rFonts w:ascii="仿宋_GB2312" w:hAnsi="Tahoma" w:eastAsia="仿宋_GB2312" w:cstheme="minorBidi"/>
          <w:b w:val="0"/>
          <w:bCs w:val="0"/>
          <w:color w:val="000000" w:themeColor="text1"/>
          <w:kern w:val="21"/>
          <w:sz w:val="32"/>
          <w:szCs w:val="32"/>
          <w14:textFill>
            <w14:solidFill>
              <w14:schemeClr w14:val="tx1"/>
            </w14:solidFill>
          </w14:textFill>
        </w:rPr>
        <w:t>目标，使命光荣、责任重大。全</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市</w:t>
      </w:r>
      <w:r>
        <w:rPr>
          <w:rFonts w:ascii="仿宋_GB2312" w:hAnsi="Tahoma" w:eastAsia="仿宋_GB2312" w:cstheme="minorBidi"/>
          <w:b w:val="0"/>
          <w:bCs w:val="0"/>
          <w:color w:val="000000" w:themeColor="text1"/>
          <w:kern w:val="21"/>
          <w:sz w:val="32"/>
          <w:szCs w:val="32"/>
          <w14:textFill>
            <w14:solidFill>
              <w14:schemeClr w14:val="tx1"/>
            </w14:solidFill>
          </w14:textFill>
        </w:rPr>
        <w:t>上下要更加紧密地团结在以习近平同志为核心的党中央周围，坚持以习近平新时代中国特色社会主义思想为指导，不忘初心、牢记使命，</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感恩奋进</w:t>
      </w:r>
      <w:r>
        <w:rPr>
          <w:rFonts w:ascii="仿宋_GB2312" w:hAnsi="Tahoma" w:eastAsia="仿宋_GB2312" w:cstheme="minorBidi"/>
          <w:b w:val="0"/>
          <w:bCs w:val="0"/>
          <w:color w:val="000000" w:themeColor="text1"/>
          <w:kern w:val="21"/>
          <w:sz w:val="32"/>
          <w:szCs w:val="32"/>
          <w14:textFill>
            <w14:solidFill>
              <w14:schemeClr w14:val="tx1"/>
            </w14:solidFill>
          </w14:textFill>
        </w:rPr>
        <w:t>、</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锐意进取、</w:t>
      </w:r>
      <w:r>
        <w:rPr>
          <w:rFonts w:ascii="仿宋_GB2312" w:hAnsi="Tahoma" w:eastAsia="仿宋_GB2312" w:cstheme="minorBidi"/>
          <w:b w:val="0"/>
          <w:bCs w:val="0"/>
          <w:color w:val="000000" w:themeColor="text1"/>
          <w:kern w:val="21"/>
          <w:sz w:val="32"/>
          <w:szCs w:val="32"/>
          <w14:textFill>
            <w14:solidFill>
              <w14:schemeClr w14:val="tx1"/>
            </w14:solidFill>
          </w14:textFill>
        </w:rPr>
        <w:t>埋头苦干，</w:t>
      </w:r>
      <w:r>
        <w:rPr>
          <w:rFonts w:hint="eastAsia" w:ascii="仿宋_GB2312" w:eastAsia="仿宋_GB2312"/>
          <w:b w:val="0"/>
          <w:bCs w:val="0"/>
          <w:color w:val="000000" w:themeColor="text1"/>
          <w:kern w:val="21"/>
          <w:sz w:val="32"/>
          <w:szCs w:val="32"/>
          <w14:textFill>
            <w14:solidFill>
              <w14:schemeClr w14:val="tx1"/>
            </w14:solidFill>
          </w14:textFill>
        </w:rPr>
        <w:t>为全面建设社会主义现代化国家</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、描绘江西改革发展新画卷、打造特色鲜明的现代化赣东北明珠</w:t>
      </w:r>
      <w:r>
        <w:rPr>
          <w:rFonts w:ascii="仿宋_GB2312" w:hAnsi="Tahoma" w:eastAsia="仿宋_GB2312" w:cstheme="minorBidi"/>
          <w:b w:val="0"/>
          <w:bCs w:val="0"/>
          <w:color w:val="000000" w:themeColor="text1"/>
          <w:kern w:val="21"/>
          <w:sz w:val="32"/>
          <w:szCs w:val="32"/>
          <w14:textFill>
            <w14:solidFill>
              <w14:schemeClr w14:val="tx1"/>
            </w14:solidFill>
          </w14:textFill>
        </w:rPr>
        <w:t>而</w:t>
      </w:r>
      <w:r>
        <w:rPr>
          <w:rFonts w:hint="eastAsia" w:ascii="仿宋_GB2312" w:hAnsi="Tahoma" w:eastAsia="仿宋_GB2312" w:cstheme="minorBidi"/>
          <w:b w:val="0"/>
          <w:bCs w:val="0"/>
          <w:color w:val="000000" w:themeColor="text1"/>
          <w:kern w:val="21"/>
          <w:sz w:val="32"/>
          <w:szCs w:val="32"/>
          <w14:textFill>
            <w14:solidFill>
              <w14:schemeClr w14:val="tx1"/>
            </w14:solidFill>
          </w14:textFill>
        </w:rPr>
        <w:t>持续</w:t>
      </w:r>
      <w:r>
        <w:rPr>
          <w:rFonts w:ascii="仿宋_GB2312" w:hAnsi="Tahoma" w:eastAsia="仿宋_GB2312" w:cstheme="minorBidi"/>
          <w:b w:val="0"/>
          <w:bCs w:val="0"/>
          <w:color w:val="000000" w:themeColor="text1"/>
          <w:kern w:val="21"/>
          <w:sz w:val="32"/>
          <w:szCs w:val="32"/>
          <w14:textFill>
            <w14:solidFill>
              <w14:schemeClr w14:val="tx1"/>
            </w14:solidFill>
          </w14:textFill>
        </w:rPr>
        <w:t>奋斗！</w:t>
      </w:r>
    </w:p>
    <w:p>
      <w:pPr>
        <w:pStyle w:val="7"/>
        <w:shd w:val="clear" w:color="auto" w:fill="FFFFFF"/>
        <w:spacing w:line="300" w:lineRule="exact"/>
        <w:rPr>
          <w:rFonts w:ascii="仿宋_GB2312" w:hAnsi="仿宋_GB2312" w:eastAsia="仿宋_GB2312" w:cs="仿宋_GB2312"/>
          <w:b w:val="0"/>
          <w:bCs w:val="0"/>
          <w:color w:val="000000"/>
          <w:sz w:val="32"/>
          <w:szCs w:val="32"/>
          <w:shd w:val="clear" w:color="auto" w:fill="FFFFFF"/>
        </w:rPr>
      </w:pPr>
    </w:p>
    <w:p>
      <w:pPr>
        <w:rPr>
          <w:b w:val="0"/>
          <w:bCs w:val="0"/>
        </w:rPr>
      </w:pPr>
    </w:p>
    <w:p>
      <w:pPr>
        <w:pStyle w:val="4"/>
        <w:spacing w:line="300" w:lineRule="exact"/>
        <w:rPr>
          <w:rFonts w:ascii="仿宋_GB2312" w:hAnsi="仿宋_GB2312" w:eastAsia="仿宋_GB2312" w:cs="仿宋_GB2312"/>
          <w:b w:val="0"/>
          <w:bCs w:val="0"/>
          <w:sz w:val="32"/>
          <w:szCs w:val="32"/>
        </w:rPr>
      </w:pPr>
    </w:p>
    <w:p>
      <w:pPr>
        <w:spacing w:line="560" w:lineRule="exact"/>
        <w:ind w:firstLine="5120" w:firstLineChars="16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color w:val="FFFFFF"/>
          <w:sz w:val="32"/>
          <w:szCs w:val="32"/>
        </w:rPr>
        <w:t>.</w:t>
      </w:r>
      <w:r>
        <w:rPr>
          <w:rFonts w:hint="eastAsia" w:ascii="仿宋_GB2312" w:hAnsi="仿宋_GB2312" w:eastAsia="仿宋_GB2312" w:cs="仿宋_GB2312"/>
          <w:b w:val="0"/>
          <w:bCs w:val="0"/>
          <w:sz w:val="32"/>
          <w:szCs w:val="32"/>
        </w:rPr>
        <w:t>中共乐平市委</w:t>
      </w:r>
    </w:p>
    <w:p>
      <w:pPr>
        <w:spacing w:line="560" w:lineRule="exact"/>
        <w:ind w:firstLine="5120" w:firstLineChars="16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US" w:eastAsia="zh-CN"/>
        </w:rPr>
        <w:t>3</w:t>
      </w:r>
      <w:r>
        <w:rPr>
          <w:rFonts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1</w:t>
      </w:r>
      <w:r>
        <w:rPr>
          <w:rFonts w:ascii="Times New Roman" w:hAnsi="Times New Roman" w:eastAsia="仿宋_GB2312" w:cs="Times New Roman"/>
          <w:b w:val="0"/>
          <w:bCs w:val="0"/>
          <w:sz w:val="32"/>
          <w:szCs w:val="32"/>
        </w:rPr>
        <w:t>日</w:t>
      </w:r>
    </w:p>
    <w:p>
      <w:pPr>
        <w:pStyle w:val="2"/>
        <w:rPr>
          <w:b w:val="0"/>
          <w:bCs w:val="0"/>
        </w:rPr>
      </w:pPr>
    </w:p>
    <w:p>
      <w:pPr>
        <w:pStyle w:val="2"/>
        <w:rPr>
          <w:rFonts w:hint="eastAsia"/>
          <w:b w:val="0"/>
          <w:bCs w:val="0"/>
        </w:rPr>
      </w:pPr>
    </w:p>
    <w:p>
      <w:pPr>
        <w:pStyle w:val="2"/>
        <w:spacing w:line="240" w:lineRule="exact"/>
        <w:rPr>
          <w:b w:val="0"/>
          <w:bCs w:val="0"/>
        </w:rPr>
      </w:pPr>
    </w:p>
    <w:p>
      <w:pPr>
        <w:autoSpaceDE w:val="0"/>
        <w:spacing w:line="300" w:lineRule="exact"/>
        <w:jc w:val="left"/>
        <w:rPr>
          <w:rFonts w:ascii="Calibri" w:hAnsi="Calibri" w:eastAsia="宋体" w:cs="Times New Roman"/>
          <w:b w:val="0"/>
          <w:bCs w:val="0"/>
          <w:spacing w:val="-22"/>
          <w:szCs w:val="21"/>
        </w:rPr>
      </w:pPr>
      <w:r>
        <w:rPr>
          <w:rFonts w:hint="eastAsia" w:ascii="宋体" w:hAnsi="宋体" w:eastAsia="宋体" w:cs="Times New Roman"/>
          <w:b w:val="0"/>
          <w:bCs w:val="0"/>
          <w:color w:val="000000"/>
          <w:spacing w:val="-22"/>
          <w:sz w:val="28"/>
          <w:szCs w:val="28"/>
          <w:lang w:bidi="ar"/>
        </w:rPr>
        <w:t>—————————————————————————————————————</w:t>
      </w:r>
    </w:p>
    <w:p>
      <w:pPr>
        <w:tabs>
          <w:tab w:val="left" w:pos="8044"/>
        </w:tabs>
        <w:spacing w:line="300" w:lineRule="exact"/>
        <w:ind w:firstLine="280" w:firstLineChars="100"/>
        <w:jc w:val="left"/>
        <w:rPr>
          <w:rFonts w:ascii="Times New Roman" w:hAnsi="Times New Roman" w:eastAsia="仿宋_GB2312" w:cs="Times New Roman"/>
          <w:b w:val="0"/>
          <w:bCs w:val="0"/>
          <w:sz w:val="28"/>
          <w:szCs w:val="28"/>
        </w:rPr>
      </w:pPr>
      <w:r>
        <w:rPr>
          <w:rFonts w:hint="eastAsia" w:eastAsia="仿宋_GB2312"/>
          <w:b w:val="0"/>
          <w:bCs w:val="0"/>
          <w:sz w:val="28"/>
          <w:szCs w:val="28"/>
        </w:rPr>
        <w:t xml:space="preserve">中共乐平市委办公室                   </w:t>
      </w:r>
      <w:r>
        <w:rPr>
          <w:rFonts w:ascii="Times New Roman" w:hAnsi="Times New Roman" w:eastAsia="仿宋_GB2312" w:cs="Times New Roman"/>
          <w:b w:val="0"/>
          <w:bCs w:val="0"/>
          <w:sz w:val="28"/>
          <w:szCs w:val="28"/>
        </w:rPr>
        <w:t xml:space="preserve">  202</w:t>
      </w:r>
      <w:r>
        <w:rPr>
          <w:rFonts w:hint="eastAsia" w:ascii="Times New Roman" w:hAnsi="Times New Roman" w:eastAsia="仿宋_GB2312" w:cs="Times New Roman"/>
          <w:b w:val="0"/>
          <w:bCs w:val="0"/>
          <w:sz w:val="28"/>
          <w:szCs w:val="28"/>
        </w:rPr>
        <w:t>1</w:t>
      </w:r>
      <w:r>
        <w:rPr>
          <w:rFonts w:ascii="Times New Roman" w:hAnsi="Times New Roman" w:eastAsia="仿宋_GB2312" w:cs="Times New Roman"/>
          <w:b w:val="0"/>
          <w:bCs w:val="0"/>
          <w:sz w:val="28"/>
          <w:szCs w:val="28"/>
        </w:rPr>
        <w:t>年</w:t>
      </w:r>
      <w:r>
        <w:rPr>
          <w:rFonts w:hint="eastAsia" w:ascii="Times New Roman" w:hAnsi="Times New Roman" w:eastAsia="仿宋_GB2312" w:cs="Times New Roman"/>
          <w:b w:val="0"/>
          <w:bCs w:val="0"/>
          <w:sz w:val="28"/>
          <w:szCs w:val="28"/>
          <w:lang w:val="en-US" w:eastAsia="zh-CN"/>
        </w:rPr>
        <w:t>3</w:t>
      </w:r>
      <w:r>
        <w:rPr>
          <w:rFonts w:ascii="Times New Roman" w:hAnsi="Times New Roman" w:eastAsia="仿宋_GB2312" w:cs="Times New Roman"/>
          <w:b w:val="0"/>
          <w:bCs w:val="0"/>
          <w:sz w:val="28"/>
          <w:szCs w:val="28"/>
        </w:rPr>
        <w:t>月</w:t>
      </w:r>
      <w:r>
        <w:rPr>
          <w:rFonts w:hint="eastAsia" w:ascii="Times New Roman" w:hAnsi="Times New Roman" w:eastAsia="仿宋_GB2312" w:cs="Times New Roman"/>
          <w:b w:val="0"/>
          <w:bCs w:val="0"/>
          <w:sz w:val="28"/>
          <w:szCs w:val="28"/>
          <w:lang w:val="en-US" w:eastAsia="zh-CN"/>
        </w:rPr>
        <w:t>12</w:t>
      </w:r>
      <w:r>
        <w:rPr>
          <w:rFonts w:ascii="Times New Roman" w:hAnsi="Times New Roman" w:eastAsia="仿宋_GB2312" w:cs="Times New Roman"/>
          <w:b w:val="0"/>
          <w:bCs w:val="0"/>
          <w:sz w:val="28"/>
          <w:szCs w:val="28"/>
        </w:rPr>
        <w:t>日印发</w:t>
      </w:r>
    </w:p>
    <w:p>
      <w:pPr>
        <w:autoSpaceDE w:val="0"/>
        <w:spacing w:line="300" w:lineRule="exact"/>
        <w:jc w:val="left"/>
        <w:rPr>
          <w:rFonts w:ascii="仿宋_GB2312" w:hAnsi="仿宋_GB2312" w:eastAsia="仿宋_GB2312" w:cs="仿宋_GB2312"/>
          <w:b w:val="0"/>
          <w:bCs w:val="0"/>
          <w:color w:val="000000"/>
          <w:sz w:val="32"/>
          <w:szCs w:val="32"/>
          <w:shd w:val="clear" w:color="auto" w:fill="FFFFFF"/>
        </w:rPr>
      </w:pPr>
      <w:r>
        <w:rPr>
          <w:rFonts w:hint="eastAsia" w:ascii="宋体" w:hAnsi="宋体" w:eastAsia="宋体" w:cs="Times New Roman"/>
          <w:b w:val="0"/>
          <w:bCs w:val="0"/>
          <w:color w:val="000000"/>
          <w:spacing w:val="-22"/>
          <w:sz w:val="28"/>
          <w:szCs w:val="28"/>
          <w:lang w:bidi="ar"/>
        </w:rPr>
        <w:t>—————————————————————————————————————</w:t>
      </w:r>
    </w:p>
    <w:sectPr>
      <w:footerReference r:id="rId3" w:type="default"/>
      <w:pgSz w:w="11906" w:h="16838"/>
      <w:pgMar w:top="1928" w:right="1531" w:bottom="1701" w:left="1531"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18415" b="5080"/>
              <wp:wrapNone/>
              <wp:docPr id="1" name="文本框 4"/>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B9WcagyAEAAIsDAAAOAAAAZHJzL2Uyb0RvYy54bWytU0tu2zAQ3RfI&#10;HQjuaymqmyaC5aCBkaJA0QZIewCaIi0C/IFDW/IF2ht01U33PZfPkSElO2m6yaIbajQcvXnvzWhx&#10;PRhNdiKAcrah57OSEmG5a5XdNPTb19vXl5RAZLZl2lnR0L0Aer08e7XofS0q1zndikAQxELd+4Z2&#10;Mfq6KIB3wjCYOS8sXkoXDIv4GjZFG1iP6EYXVVleFL0LrQ+OCwDMrsZLOiGGlwA6KRUXK8e3Rtg4&#10;ogahWURJ0CkPdJnZSil4/CIliEh0Q1FpzCc2wXidzmK5YPUmMN8pPlFgL6HwTJNhymLTE9SKRUa2&#10;Qf0DZRQPDpyMM+5MMQrJjqCK8/KZN/cd8yJrQavBn0yH/wfLP+/uAlEtbgIllhkc+OHnj8OvP4ff&#10;38k82dN7qLHq3mNdHG7ckEqnPGAyqR5kMOmJegjeo7n7k7liiIRj8qKqrt68pYTjVVXO5++y+cXj&#10;xz5A/CCcISloaMDZZUvZ7hNEbIilx5LUy7pbpXWen7Z/JbAwZYrEfGSYojish4n22rV7VNPj2Btq&#10;ccsp0R8tupo25BiEY7CegtQD/PttxMaZT0IdoaZmOKNMc9qntARP33PV4z+0f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WDyM0QAAAAMBAAAPAAAAAAAAAAEAIAAAACIAAABkcnMvZG93bnJldi54&#10;bWxQSwECFAAUAAAACACHTuJAfVnGoMgBAACLAwAADgAAAAAAAAABACAAAAAgAQAAZHJzL2Uyb0Rv&#10;Yy54bWxQSwUGAAAAAAYABgBZAQAAWgUAAAAA&#10;">
              <v:fill on="f" focussize="0,0"/>
              <v:stroke on="f"/>
              <v:imagedata o:title=""/>
              <o:lock v:ext="edit" aspectratio="f"/>
              <v:textbox inset="0mm,0mm,0mm,0mm" style="mso-fit-shape-to-text:t;">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2B"/>
    <w:rsid w:val="00016946"/>
    <w:rsid w:val="00021463"/>
    <w:rsid w:val="00045F0A"/>
    <w:rsid w:val="00053BF9"/>
    <w:rsid w:val="00070D3B"/>
    <w:rsid w:val="000718EB"/>
    <w:rsid w:val="0008739E"/>
    <w:rsid w:val="00090C31"/>
    <w:rsid w:val="000C0749"/>
    <w:rsid w:val="000D4995"/>
    <w:rsid w:val="000E5DE5"/>
    <w:rsid w:val="000F6CF7"/>
    <w:rsid w:val="0011050A"/>
    <w:rsid w:val="00116C40"/>
    <w:rsid w:val="00117221"/>
    <w:rsid w:val="00123769"/>
    <w:rsid w:val="00130309"/>
    <w:rsid w:val="0013108C"/>
    <w:rsid w:val="00153600"/>
    <w:rsid w:val="00153D2F"/>
    <w:rsid w:val="00156B01"/>
    <w:rsid w:val="00193500"/>
    <w:rsid w:val="001A1548"/>
    <w:rsid w:val="001A23B1"/>
    <w:rsid w:val="001D3364"/>
    <w:rsid w:val="001E3DC5"/>
    <w:rsid w:val="001F7264"/>
    <w:rsid w:val="0024277A"/>
    <w:rsid w:val="002516A4"/>
    <w:rsid w:val="002567DC"/>
    <w:rsid w:val="00265EC1"/>
    <w:rsid w:val="00295709"/>
    <w:rsid w:val="002B0853"/>
    <w:rsid w:val="002D1CC2"/>
    <w:rsid w:val="002E1CFA"/>
    <w:rsid w:val="002E74C5"/>
    <w:rsid w:val="002F509A"/>
    <w:rsid w:val="002F51A1"/>
    <w:rsid w:val="00327C3B"/>
    <w:rsid w:val="003734B1"/>
    <w:rsid w:val="003A43FF"/>
    <w:rsid w:val="003A75DA"/>
    <w:rsid w:val="003A7A84"/>
    <w:rsid w:val="003B00B8"/>
    <w:rsid w:val="003B13A8"/>
    <w:rsid w:val="003B3BE5"/>
    <w:rsid w:val="003C13B5"/>
    <w:rsid w:val="003C1F3C"/>
    <w:rsid w:val="003E2689"/>
    <w:rsid w:val="003E5B87"/>
    <w:rsid w:val="004130D6"/>
    <w:rsid w:val="00424E9D"/>
    <w:rsid w:val="0043198F"/>
    <w:rsid w:val="00454A40"/>
    <w:rsid w:val="004A5076"/>
    <w:rsid w:val="004C15E6"/>
    <w:rsid w:val="004F4792"/>
    <w:rsid w:val="004F4D42"/>
    <w:rsid w:val="004F5506"/>
    <w:rsid w:val="00506807"/>
    <w:rsid w:val="00511A3D"/>
    <w:rsid w:val="0054291B"/>
    <w:rsid w:val="00546F92"/>
    <w:rsid w:val="00550C9B"/>
    <w:rsid w:val="005520AC"/>
    <w:rsid w:val="005521AC"/>
    <w:rsid w:val="005909AC"/>
    <w:rsid w:val="005C3766"/>
    <w:rsid w:val="005C5AC8"/>
    <w:rsid w:val="006233D1"/>
    <w:rsid w:val="00623A93"/>
    <w:rsid w:val="006307AB"/>
    <w:rsid w:val="0064184E"/>
    <w:rsid w:val="00655C2B"/>
    <w:rsid w:val="0068062B"/>
    <w:rsid w:val="00694A84"/>
    <w:rsid w:val="006955ED"/>
    <w:rsid w:val="00696989"/>
    <w:rsid w:val="006A6C00"/>
    <w:rsid w:val="006C4534"/>
    <w:rsid w:val="006C77B0"/>
    <w:rsid w:val="006D0519"/>
    <w:rsid w:val="006D6999"/>
    <w:rsid w:val="006D77A6"/>
    <w:rsid w:val="00705749"/>
    <w:rsid w:val="00723D72"/>
    <w:rsid w:val="007A5AD0"/>
    <w:rsid w:val="007B5767"/>
    <w:rsid w:val="007E375F"/>
    <w:rsid w:val="00804A80"/>
    <w:rsid w:val="00855D72"/>
    <w:rsid w:val="008A034A"/>
    <w:rsid w:val="008F504A"/>
    <w:rsid w:val="00905CB7"/>
    <w:rsid w:val="00914F4E"/>
    <w:rsid w:val="00941164"/>
    <w:rsid w:val="009573C5"/>
    <w:rsid w:val="00957E5D"/>
    <w:rsid w:val="0098191C"/>
    <w:rsid w:val="00984BE9"/>
    <w:rsid w:val="009902AE"/>
    <w:rsid w:val="00992A23"/>
    <w:rsid w:val="009A4260"/>
    <w:rsid w:val="009A74E7"/>
    <w:rsid w:val="009C4446"/>
    <w:rsid w:val="009D145E"/>
    <w:rsid w:val="009D3EFA"/>
    <w:rsid w:val="009F12E3"/>
    <w:rsid w:val="00A03BF1"/>
    <w:rsid w:val="00A12C87"/>
    <w:rsid w:val="00A137CC"/>
    <w:rsid w:val="00A1660B"/>
    <w:rsid w:val="00A22363"/>
    <w:rsid w:val="00A25FB1"/>
    <w:rsid w:val="00A64088"/>
    <w:rsid w:val="00A714D4"/>
    <w:rsid w:val="00AA2413"/>
    <w:rsid w:val="00AB0EC5"/>
    <w:rsid w:val="00AB6AF4"/>
    <w:rsid w:val="00AC21FA"/>
    <w:rsid w:val="00B12E1E"/>
    <w:rsid w:val="00B17223"/>
    <w:rsid w:val="00B36B91"/>
    <w:rsid w:val="00B40E5F"/>
    <w:rsid w:val="00B57C7F"/>
    <w:rsid w:val="00B6246E"/>
    <w:rsid w:val="00BA2F5E"/>
    <w:rsid w:val="00BB490C"/>
    <w:rsid w:val="00BD2F3A"/>
    <w:rsid w:val="00BE68A8"/>
    <w:rsid w:val="00BE72E6"/>
    <w:rsid w:val="00BF3491"/>
    <w:rsid w:val="00BF4AB7"/>
    <w:rsid w:val="00C05604"/>
    <w:rsid w:val="00C30985"/>
    <w:rsid w:val="00C34C50"/>
    <w:rsid w:val="00C467F7"/>
    <w:rsid w:val="00C52029"/>
    <w:rsid w:val="00C576EA"/>
    <w:rsid w:val="00C72249"/>
    <w:rsid w:val="00C9016B"/>
    <w:rsid w:val="00CA6402"/>
    <w:rsid w:val="00CB7139"/>
    <w:rsid w:val="00CC5022"/>
    <w:rsid w:val="00CC770A"/>
    <w:rsid w:val="00CD40A9"/>
    <w:rsid w:val="00CD5053"/>
    <w:rsid w:val="00CE4637"/>
    <w:rsid w:val="00CF135B"/>
    <w:rsid w:val="00D0483F"/>
    <w:rsid w:val="00D30CDA"/>
    <w:rsid w:val="00D41084"/>
    <w:rsid w:val="00D6312D"/>
    <w:rsid w:val="00D67997"/>
    <w:rsid w:val="00D67C81"/>
    <w:rsid w:val="00D67E28"/>
    <w:rsid w:val="00D7485A"/>
    <w:rsid w:val="00DD2110"/>
    <w:rsid w:val="00DE2E19"/>
    <w:rsid w:val="00DF0071"/>
    <w:rsid w:val="00E06983"/>
    <w:rsid w:val="00E11284"/>
    <w:rsid w:val="00EA73E9"/>
    <w:rsid w:val="00F006DA"/>
    <w:rsid w:val="00F041DE"/>
    <w:rsid w:val="00F0687A"/>
    <w:rsid w:val="00F15A6C"/>
    <w:rsid w:val="00F16C2E"/>
    <w:rsid w:val="00F3722C"/>
    <w:rsid w:val="00F53EF9"/>
    <w:rsid w:val="00F54ED2"/>
    <w:rsid w:val="00F5754A"/>
    <w:rsid w:val="00F76973"/>
    <w:rsid w:val="00F84540"/>
    <w:rsid w:val="00F86BF9"/>
    <w:rsid w:val="00F958E1"/>
    <w:rsid w:val="00FA32BC"/>
    <w:rsid w:val="00FB13F9"/>
    <w:rsid w:val="00FE3C9E"/>
    <w:rsid w:val="00FF4AAC"/>
    <w:rsid w:val="011A0689"/>
    <w:rsid w:val="012257B1"/>
    <w:rsid w:val="01693573"/>
    <w:rsid w:val="01C463BC"/>
    <w:rsid w:val="01F37308"/>
    <w:rsid w:val="02686C15"/>
    <w:rsid w:val="02C07FC1"/>
    <w:rsid w:val="030E4057"/>
    <w:rsid w:val="036F7B5D"/>
    <w:rsid w:val="0393774C"/>
    <w:rsid w:val="03E51CA3"/>
    <w:rsid w:val="0453227B"/>
    <w:rsid w:val="052F7D43"/>
    <w:rsid w:val="0540713C"/>
    <w:rsid w:val="05C97B14"/>
    <w:rsid w:val="062626B1"/>
    <w:rsid w:val="06735799"/>
    <w:rsid w:val="068D33E2"/>
    <w:rsid w:val="071969CA"/>
    <w:rsid w:val="07407D22"/>
    <w:rsid w:val="08D16080"/>
    <w:rsid w:val="08EA0305"/>
    <w:rsid w:val="09083DE2"/>
    <w:rsid w:val="0A150E89"/>
    <w:rsid w:val="0AEE40F3"/>
    <w:rsid w:val="0B945547"/>
    <w:rsid w:val="0BBC2004"/>
    <w:rsid w:val="0BFD3CD6"/>
    <w:rsid w:val="0C085CA5"/>
    <w:rsid w:val="0C586743"/>
    <w:rsid w:val="0DFC4D09"/>
    <w:rsid w:val="0E273916"/>
    <w:rsid w:val="0E3F1BA2"/>
    <w:rsid w:val="109B5D92"/>
    <w:rsid w:val="10CC5F9B"/>
    <w:rsid w:val="11C04875"/>
    <w:rsid w:val="11C206D1"/>
    <w:rsid w:val="124A0C30"/>
    <w:rsid w:val="12F71414"/>
    <w:rsid w:val="13383B86"/>
    <w:rsid w:val="14124760"/>
    <w:rsid w:val="14DF2F68"/>
    <w:rsid w:val="155D3377"/>
    <w:rsid w:val="15E0183F"/>
    <w:rsid w:val="15F20A1E"/>
    <w:rsid w:val="16344699"/>
    <w:rsid w:val="17986CE3"/>
    <w:rsid w:val="17A71E24"/>
    <w:rsid w:val="18436CDE"/>
    <w:rsid w:val="192C354D"/>
    <w:rsid w:val="19EC1E60"/>
    <w:rsid w:val="1A2D7932"/>
    <w:rsid w:val="1AB14AC7"/>
    <w:rsid w:val="1AD32797"/>
    <w:rsid w:val="1AD82BE2"/>
    <w:rsid w:val="1B4049B6"/>
    <w:rsid w:val="1B9B1D97"/>
    <w:rsid w:val="1BD038F4"/>
    <w:rsid w:val="1BF16EE3"/>
    <w:rsid w:val="1C4F56DA"/>
    <w:rsid w:val="1C67186E"/>
    <w:rsid w:val="1D0C3561"/>
    <w:rsid w:val="1D5A6402"/>
    <w:rsid w:val="1DB45E29"/>
    <w:rsid w:val="1E4747BF"/>
    <w:rsid w:val="1E956200"/>
    <w:rsid w:val="1EE35535"/>
    <w:rsid w:val="1F407E41"/>
    <w:rsid w:val="20241639"/>
    <w:rsid w:val="211007F0"/>
    <w:rsid w:val="253C6852"/>
    <w:rsid w:val="25FF0F0F"/>
    <w:rsid w:val="26BC21BC"/>
    <w:rsid w:val="27000B23"/>
    <w:rsid w:val="278441C3"/>
    <w:rsid w:val="280D3CF0"/>
    <w:rsid w:val="281624B3"/>
    <w:rsid w:val="28190C42"/>
    <w:rsid w:val="28E417EC"/>
    <w:rsid w:val="297B2FCD"/>
    <w:rsid w:val="29B17D4E"/>
    <w:rsid w:val="29CB6A29"/>
    <w:rsid w:val="2A5B07B2"/>
    <w:rsid w:val="2AA0071F"/>
    <w:rsid w:val="2ADE480B"/>
    <w:rsid w:val="2AED2073"/>
    <w:rsid w:val="2B4A765C"/>
    <w:rsid w:val="2B644F4C"/>
    <w:rsid w:val="2BA163C6"/>
    <w:rsid w:val="2C644589"/>
    <w:rsid w:val="2C8F7DAF"/>
    <w:rsid w:val="2C980A80"/>
    <w:rsid w:val="2CBF09C4"/>
    <w:rsid w:val="2D136B10"/>
    <w:rsid w:val="2E8E0B2D"/>
    <w:rsid w:val="2F2A1B7A"/>
    <w:rsid w:val="2FE326A1"/>
    <w:rsid w:val="3014696A"/>
    <w:rsid w:val="30AB3253"/>
    <w:rsid w:val="30BD3A50"/>
    <w:rsid w:val="30D73197"/>
    <w:rsid w:val="314F39EF"/>
    <w:rsid w:val="31BF6596"/>
    <w:rsid w:val="31DA3553"/>
    <w:rsid w:val="32AE24C1"/>
    <w:rsid w:val="33627AC5"/>
    <w:rsid w:val="34594D36"/>
    <w:rsid w:val="34825365"/>
    <w:rsid w:val="35044C1E"/>
    <w:rsid w:val="35F7565F"/>
    <w:rsid w:val="35FC0E5C"/>
    <w:rsid w:val="36065E67"/>
    <w:rsid w:val="360D462A"/>
    <w:rsid w:val="3629250A"/>
    <w:rsid w:val="362A0213"/>
    <w:rsid w:val="362A6DFA"/>
    <w:rsid w:val="36427045"/>
    <w:rsid w:val="366509A7"/>
    <w:rsid w:val="37A86E3F"/>
    <w:rsid w:val="381C0FF8"/>
    <w:rsid w:val="383D36A9"/>
    <w:rsid w:val="384C1813"/>
    <w:rsid w:val="393B083E"/>
    <w:rsid w:val="39537892"/>
    <w:rsid w:val="39A01602"/>
    <w:rsid w:val="39FB7801"/>
    <w:rsid w:val="3A1E345C"/>
    <w:rsid w:val="3A654BA2"/>
    <w:rsid w:val="3AA37484"/>
    <w:rsid w:val="3AA9632D"/>
    <w:rsid w:val="3B343768"/>
    <w:rsid w:val="3B34706D"/>
    <w:rsid w:val="3BA052E2"/>
    <w:rsid w:val="3BD577A7"/>
    <w:rsid w:val="3D252033"/>
    <w:rsid w:val="3D56222A"/>
    <w:rsid w:val="3D654F69"/>
    <w:rsid w:val="3DBC73A5"/>
    <w:rsid w:val="3E1D0F03"/>
    <w:rsid w:val="3E467057"/>
    <w:rsid w:val="3EA8197A"/>
    <w:rsid w:val="3F690AD6"/>
    <w:rsid w:val="3FB97D8E"/>
    <w:rsid w:val="3FBD0BED"/>
    <w:rsid w:val="4026377F"/>
    <w:rsid w:val="406E4EED"/>
    <w:rsid w:val="40724029"/>
    <w:rsid w:val="40E34F12"/>
    <w:rsid w:val="43AE424B"/>
    <w:rsid w:val="43B6758C"/>
    <w:rsid w:val="444F1CA5"/>
    <w:rsid w:val="4487606D"/>
    <w:rsid w:val="457D2204"/>
    <w:rsid w:val="459A0D5C"/>
    <w:rsid w:val="470D4605"/>
    <w:rsid w:val="47B140BC"/>
    <w:rsid w:val="492A1B90"/>
    <w:rsid w:val="49FD42D4"/>
    <w:rsid w:val="4A0E28C2"/>
    <w:rsid w:val="4ADD4696"/>
    <w:rsid w:val="4AFE1815"/>
    <w:rsid w:val="4B212ED0"/>
    <w:rsid w:val="4BCC38B2"/>
    <w:rsid w:val="4C585C4A"/>
    <w:rsid w:val="4C8F6E25"/>
    <w:rsid w:val="4CBB3B8B"/>
    <w:rsid w:val="4F267765"/>
    <w:rsid w:val="4FE059CF"/>
    <w:rsid w:val="501C5EDF"/>
    <w:rsid w:val="50B0667A"/>
    <w:rsid w:val="514371F3"/>
    <w:rsid w:val="51CA4C6E"/>
    <w:rsid w:val="51D127EC"/>
    <w:rsid w:val="52003DE1"/>
    <w:rsid w:val="532F1DC4"/>
    <w:rsid w:val="53B073FF"/>
    <w:rsid w:val="540D0566"/>
    <w:rsid w:val="540F5975"/>
    <w:rsid w:val="54A2538C"/>
    <w:rsid w:val="54C5773E"/>
    <w:rsid w:val="551358D2"/>
    <w:rsid w:val="55A65E11"/>
    <w:rsid w:val="55AA64B0"/>
    <w:rsid w:val="55B81E78"/>
    <w:rsid w:val="55C9090E"/>
    <w:rsid w:val="56625532"/>
    <w:rsid w:val="56A30226"/>
    <w:rsid w:val="58924E23"/>
    <w:rsid w:val="58BA558C"/>
    <w:rsid w:val="58E70C17"/>
    <w:rsid w:val="59255191"/>
    <w:rsid w:val="595E09F7"/>
    <w:rsid w:val="596D3978"/>
    <w:rsid w:val="598E502C"/>
    <w:rsid w:val="59AA7C39"/>
    <w:rsid w:val="5A1144CD"/>
    <w:rsid w:val="5A253F03"/>
    <w:rsid w:val="5B4B2FBF"/>
    <w:rsid w:val="5B924836"/>
    <w:rsid w:val="5C9209D3"/>
    <w:rsid w:val="5CF62904"/>
    <w:rsid w:val="5EEC6B17"/>
    <w:rsid w:val="5F962AF2"/>
    <w:rsid w:val="5FA56EB7"/>
    <w:rsid w:val="60230108"/>
    <w:rsid w:val="605A15E8"/>
    <w:rsid w:val="60E374BE"/>
    <w:rsid w:val="61281C35"/>
    <w:rsid w:val="61706783"/>
    <w:rsid w:val="61736F18"/>
    <w:rsid w:val="62D32F49"/>
    <w:rsid w:val="62D3553D"/>
    <w:rsid w:val="62D44D12"/>
    <w:rsid w:val="63A735A0"/>
    <w:rsid w:val="63F165CA"/>
    <w:rsid w:val="642A5570"/>
    <w:rsid w:val="645D5C86"/>
    <w:rsid w:val="649D7872"/>
    <w:rsid w:val="64B603E5"/>
    <w:rsid w:val="65617A65"/>
    <w:rsid w:val="65C92BA6"/>
    <w:rsid w:val="65CD169F"/>
    <w:rsid w:val="65E07E22"/>
    <w:rsid w:val="65F03D83"/>
    <w:rsid w:val="668B440F"/>
    <w:rsid w:val="66947F86"/>
    <w:rsid w:val="67095490"/>
    <w:rsid w:val="67684797"/>
    <w:rsid w:val="67B5298F"/>
    <w:rsid w:val="67BA7902"/>
    <w:rsid w:val="683A0CCD"/>
    <w:rsid w:val="683A2951"/>
    <w:rsid w:val="68580872"/>
    <w:rsid w:val="68656248"/>
    <w:rsid w:val="68FE470A"/>
    <w:rsid w:val="68FE5915"/>
    <w:rsid w:val="690C2BA9"/>
    <w:rsid w:val="69584874"/>
    <w:rsid w:val="69D33D8B"/>
    <w:rsid w:val="6A7D4D58"/>
    <w:rsid w:val="6ADD2B03"/>
    <w:rsid w:val="6B027291"/>
    <w:rsid w:val="6B7B60E0"/>
    <w:rsid w:val="6B9A5D8A"/>
    <w:rsid w:val="6BC45D1E"/>
    <w:rsid w:val="6BF26D47"/>
    <w:rsid w:val="6D313E99"/>
    <w:rsid w:val="6D626FBB"/>
    <w:rsid w:val="6DA20E27"/>
    <w:rsid w:val="6DED7A85"/>
    <w:rsid w:val="6F044C09"/>
    <w:rsid w:val="6F3B7485"/>
    <w:rsid w:val="71F665C9"/>
    <w:rsid w:val="7223315E"/>
    <w:rsid w:val="72F76468"/>
    <w:rsid w:val="72FD5A60"/>
    <w:rsid w:val="738D335E"/>
    <w:rsid w:val="73EF1F75"/>
    <w:rsid w:val="73FC0212"/>
    <w:rsid w:val="743217B7"/>
    <w:rsid w:val="74513068"/>
    <w:rsid w:val="751B38CA"/>
    <w:rsid w:val="758661EC"/>
    <w:rsid w:val="75AA1512"/>
    <w:rsid w:val="76616229"/>
    <w:rsid w:val="768072AE"/>
    <w:rsid w:val="76CB6226"/>
    <w:rsid w:val="774F2CBC"/>
    <w:rsid w:val="77551E49"/>
    <w:rsid w:val="77A02D4C"/>
    <w:rsid w:val="77BA0C61"/>
    <w:rsid w:val="77E51986"/>
    <w:rsid w:val="7841734B"/>
    <w:rsid w:val="799B2EB8"/>
    <w:rsid w:val="7A586D62"/>
    <w:rsid w:val="7A665748"/>
    <w:rsid w:val="7B9D184A"/>
    <w:rsid w:val="7BAB5113"/>
    <w:rsid w:val="7BFB0731"/>
    <w:rsid w:val="7C5733E1"/>
    <w:rsid w:val="7E6849B7"/>
    <w:rsid w:val="7FDE7199"/>
    <w:rsid w:val="7FE3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unhideWhenUsed/>
    <w:qFormat/>
    <w:uiPriority w:val="99"/>
    <w:pPr>
      <w:ind w:left="420" w:leftChars="200" w:firstLine="210"/>
    </w:pPr>
  </w:style>
  <w:style w:type="paragraph" w:styleId="3">
    <w:name w:val="Body Text"/>
    <w:basedOn w:val="1"/>
    <w:next w:val="1"/>
    <w:link w:val="18"/>
    <w:qFormat/>
    <w:uiPriority w:val="0"/>
    <w:pPr>
      <w:spacing w:after="120"/>
    </w:pPr>
  </w:style>
  <w:style w:type="paragraph" w:styleId="4">
    <w:name w:val="Plain Text"/>
    <w:basedOn w:val="1"/>
    <w:next w:val="1"/>
    <w:qFormat/>
    <w:uiPriority w:val="99"/>
    <w:rPr>
      <w:rFonts w:ascii="Courier New"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cs="Times New Roman"/>
      <w:kern w:val="0"/>
      <w:sz w:val="24"/>
    </w:rPr>
  </w:style>
  <w:style w:type="character" w:styleId="10">
    <w:name w:val="page number"/>
    <w:basedOn w:val="9"/>
    <w:qFormat/>
    <w:uiPriority w:val="0"/>
  </w:style>
  <w:style w:type="character" w:styleId="11">
    <w:name w:val="Emphasis"/>
    <w:basedOn w:val="9"/>
    <w:qFormat/>
    <w:uiPriority w:val="20"/>
    <w:rPr>
      <w:i/>
      <w:iCs/>
    </w:rPr>
  </w:style>
  <w:style w:type="paragraph" w:customStyle="1" w:styleId="12">
    <w:name w:val="Char"/>
    <w:basedOn w:val="1"/>
    <w:next w:val="1"/>
    <w:qFormat/>
    <w:uiPriority w:val="0"/>
    <w:pPr>
      <w:widowControl/>
      <w:spacing w:line="360" w:lineRule="auto"/>
      <w:jc w:val="left"/>
    </w:pPr>
    <w:rPr>
      <w:szCs w:val="20"/>
    </w:rPr>
  </w:style>
  <w:style w:type="paragraph" w:customStyle="1" w:styleId="13">
    <w:name w:val="Body Text Indent 31"/>
    <w:basedOn w:val="1"/>
    <w:qFormat/>
    <w:uiPriority w:val="99"/>
    <w:pPr>
      <w:ind w:left="420" w:leftChars="200"/>
    </w:pPr>
    <w:rPr>
      <w:rFonts w:ascii="Calibri" w:hAnsi="Calibri" w:eastAsia="仿宋"/>
      <w:sz w:val="16"/>
      <w:szCs w:val="16"/>
    </w:rPr>
  </w:style>
  <w:style w:type="paragraph" w:customStyle="1" w:styleId="14">
    <w:name w:val="p0"/>
    <w:basedOn w:val="1"/>
    <w:qFormat/>
    <w:uiPriority w:val="0"/>
    <w:pPr>
      <w:widowControl/>
    </w:pPr>
    <w:rPr>
      <w:rFonts w:ascii="Times New Roman" w:hAnsi="Times New Roman" w:cs="Times New Roman"/>
      <w:kern w:val="0"/>
    </w:rPr>
  </w:style>
  <w:style w:type="character" w:customStyle="1" w:styleId="15">
    <w:name w:val="页眉 Char"/>
    <w:basedOn w:val="9"/>
    <w:link w:val="6"/>
    <w:qFormat/>
    <w:uiPriority w:val="0"/>
    <w:rPr>
      <w:rFonts w:asciiTheme="minorHAnsi" w:hAnsiTheme="minorHAnsi" w:eastAsiaTheme="minorEastAsia" w:cstheme="minorBidi"/>
      <w:kern w:val="2"/>
      <w:sz w:val="18"/>
      <w:szCs w:val="18"/>
    </w:rPr>
  </w:style>
  <w:style w:type="character" w:customStyle="1" w:styleId="16">
    <w:name w:val="NormalCharacter"/>
    <w:qFormat/>
    <w:uiPriority w:val="0"/>
    <w:rPr>
      <w:rFonts w:ascii="Times New Roman" w:hAnsi="Times New Roman" w:eastAsia="宋体" w:cs="Times New Roman"/>
      <w:lang w:bidi="ar-SA"/>
    </w:rPr>
  </w:style>
  <w:style w:type="paragraph" w:customStyle="1" w:styleId="17">
    <w:name w:val="正文文本缩进 31"/>
    <w:basedOn w:val="1"/>
    <w:qFormat/>
    <w:uiPriority w:val="0"/>
    <w:pPr>
      <w:ind w:left="420" w:leftChars="200"/>
    </w:pPr>
    <w:rPr>
      <w:rFonts w:ascii="Calibri" w:hAnsi="Calibri" w:eastAsia="仿宋" w:cs="Times New Roman"/>
      <w:sz w:val="16"/>
      <w:szCs w:val="16"/>
    </w:rPr>
  </w:style>
  <w:style w:type="character" w:customStyle="1" w:styleId="18">
    <w:name w:val="正文文本 Char"/>
    <w:basedOn w:val="9"/>
    <w:link w:val="3"/>
    <w:qFormat/>
    <w:uiPriority w:val="0"/>
    <w:rPr>
      <w:kern w:val="2"/>
      <w:sz w:val="21"/>
      <w:szCs w:val="24"/>
    </w:rPr>
  </w:style>
  <w:style w:type="paragraph" w:customStyle="1" w:styleId="19">
    <w:name w:val="正文首行缩进 21"/>
    <w:basedOn w:val="1"/>
    <w:qFormat/>
    <w:uiPriority w:val="0"/>
    <w:pPr>
      <w:ind w:left="420" w:leftChars="200" w:firstLine="210"/>
    </w:pPr>
    <w:rPr>
      <w:rFonts w:ascii="Calibri" w:hAnsi="Calibri" w:eastAsia="宋体" w:cs="Calibri"/>
      <w:szCs w:val="21"/>
    </w:rPr>
  </w:style>
  <w:style w:type="character" w:customStyle="1" w:styleId="20">
    <w:name w:val="text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3651</Words>
  <Characters>20816</Characters>
  <Lines>173</Lines>
  <Paragraphs>48</Paragraphs>
  <TotalTime>30</TotalTime>
  <ScaleCrop>false</ScaleCrop>
  <LinksUpToDate>false</LinksUpToDate>
  <CharactersWithSpaces>24419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2021-03-10T09:16:00Z</dcterms:created>
  <dc:creator>Administrator</dc:creator>
  <cp:lastModifiedBy>瑾</cp:lastModifiedBy>
  <cp:lastPrinted>2021-03-17T08:02:00Z</cp:lastPrinted>
  <dcterms:modified xsi:type="dcterms:W3CDTF">2021-03-19T08:44:26Z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4B3DD390CC8742F983E647C3272E7303</vt:lpwstr>
  </property>
</Properties>
</file>