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江西省设施农业用地管理办法</w:t>
      </w:r>
    </w:p>
    <w:p>
      <w:pPr>
        <w:ind w:firstLine="0" w:firstLineChars="0"/>
        <w:jc w:val="center"/>
        <w:rPr>
          <w:rFonts w:ascii="华文中宋" w:hAnsi="华文中宋" w:eastAsia="华文中宋" w:cs="华文中宋"/>
          <w:sz w:val="44"/>
          <w:szCs w:val="44"/>
        </w:rPr>
      </w:pPr>
    </w:p>
    <w:p>
      <w:pPr>
        <w:widowControl w:val="0"/>
        <w:spacing w:before="156" w:beforeLines="50" w:after="156" w:afterLines="50"/>
        <w:ind w:firstLine="0" w:firstLineChars="0"/>
        <w:jc w:val="center"/>
        <w:rPr>
          <w:rFonts w:eastAsiaTheme="minorEastAsia"/>
          <w:b/>
          <w:bCs/>
          <w:sz w:val="32"/>
          <w:szCs w:val="32"/>
        </w:rPr>
      </w:pPr>
      <w:r>
        <w:rPr>
          <w:rFonts w:hint="eastAsia"/>
          <w:b/>
          <w:bCs/>
          <w:sz w:val="32"/>
          <w:szCs w:val="32"/>
        </w:rPr>
        <w:t>第一章  总  则</w:t>
      </w:r>
    </w:p>
    <w:p>
      <w:pPr>
        <w:widowControl w:val="0"/>
        <w:spacing w:line="580" w:lineRule="exact"/>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为落实最严格的耕地保护制度，规范设施农业用地管理，助推乡村振兴战略实施，促进现代设施农业健康有序发展，依据《自然资源部 农业农村部关于设施农业用地管理有关问题的通知》和《中共江西省委办公厅 江西省人民政府办公厅关于加强耕地保护的意见》等有关规定，结合我省实际，制定本办法。</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本办法所称设施农业用地，是指农业生产中直接用于作物种植和畜禽水产养殖的设施用地，按功能分为生产设施用地、与生产直接关联的辅助设施用地以及相关的配套设施用地。</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设施农业建设应严格保护耕地，合理利用土地。新增建设畜禽养殖设施、水产养殖设施和破坏耕作层（硬化、挖损地面等破坏种植条件、建设永久性建筑物）的种植业设施严格控制占用耕地，严禁占用永久基本农田，确需占用一般耕地的，应符合相关标准。</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设施农业用地要坚持农地农用，不得擅自改变用途，用于其他非农建设，不得擅自扩大用地规模。非农建设占用设施农业用地的，应依法办理建设用地审批手续。</w:t>
      </w:r>
    </w:p>
    <w:p>
      <w:pPr>
        <w:widowControl w:val="0"/>
        <w:ind w:firstLine="643"/>
        <w:jc w:val="both"/>
        <w:rPr>
          <w:szCs w:val="28"/>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本办法适用于本省行政区域内设施农业用地的管理。</w:t>
      </w:r>
    </w:p>
    <w:p>
      <w:pPr>
        <w:widowControl w:val="0"/>
        <w:spacing w:before="156" w:beforeLines="50" w:after="156" w:afterLines="50"/>
        <w:ind w:firstLine="0" w:firstLineChars="0"/>
        <w:jc w:val="center"/>
        <w:rPr>
          <w:b/>
          <w:bCs/>
          <w:sz w:val="32"/>
          <w:szCs w:val="32"/>
        </w:rPr>
      </w:pPr>
      <w:r>
        <w:rPr>
          <w:rFonts w:hint="eastAsia"/>
          <w:b/>
          <w:bCs/>
          <w:sz w:val="32"/>
          <w:szCs w:val="32"/>
        </w:rPr>
        <w:t>第二章  范围和标准</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生产设施指直接用于经营性畜禽养殖生产设施及附属设施用地，以及直接用于作物栽培或水产养殖等农产品生产设施及附属设施用地，包括工厂化栽培、温室大棚、养殖圈舍、硬化的养殖池等设施。</w:t>
      </w:r>
      <w:r>
        <w:rPr>
          <w:rFonts w:hint="eastAsia" w:ascii="等线" w:hAnsi="等线" w:eastAsia="仿宋_GB2312" w:cs="Times New Roman"/>
          <w:sz w:val="32"/>
          <w14:ligatures w14:val="standardContextual"/>
        </w:rPr>
        <w:t>辅助设施指直接用于设施农业项目辅助生产的设施用地，</w:t>
      </w:r>
      <w:r>
        <w:rPr>
          <w:rFonts w:hint="eastAsia" w:ascii="仿宋_GB2312" w:hAnsi="仿宋_GB2312" w:eastAsia="仿宋_GB2312" w:cs="仿宋_GB2312"/>
          <w:sz w:val="32"/>
          <w:szCs w:val="32"/>
        </w:rPr>
        <w:t>包括看护、农资农具存放、烘干晾晒、分拣包装、废弃物处置、检验检疫等场所。配套设施指晾晒场、粮食果品烘干设施、粮食和农资临时存放场所、大型农机具临时存放场所等规模化粮食生产所必需的配套设施用地。设施农业项目应符合设施农业用地正面清单（详见附件1）。</w:t>
      </w:r>
    </w:p>
    <w:p>
      <w:pPr>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除正面清单以</w:t>
      </w:r>
      <w:r>
        <w:rPr>
          <w:rFonts w:hint="eastAsia" w:ascii="仿宋_GB2312" w:hAnsi="仿宋_GB2312" w:eastAsia="仿宋_GB2312" w:cs="仿宋_GB2312"/>
          <w:color w:val="000000"/>
          <w:sz w:val="32"/>
          <w:szCs w:val="32"/>
        </w:rPr>
        <w:t>外的其他设施农业用地类型，由县级自然资源主管部门会同农业农村主管部门等有关部门进行论证认定，报省自然资源厅和省农业农村厅备案同意后，纳入设施农业用地管理范围。</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 xml:space="preserve"> 设施农业用地项目应科学合理确定各类设施用地规模。</w:t>
      </w:r>
    </w:p>
    <w:p>
      <w:pPr>
        <w:widowControl w:val="0"/>
        <w:numPr>
          <w:ilvl w:val="0"/>
          <w:numId w:val="1"/>
        </w:num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生产设施用地规模。作物种植和畜禽、水产养殖的生产设施用地规模根据农业生产需要合理确定。</w:t>
      </w:r>
    </w:p>
    <w:p>
      <w:pPr>
        <w:widowControl w:val="0"/>
        <w:numPr>
          <w:ilvl w:val="0"/>
          <w:numId w:val="1"/>
        </w:num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辅助设施用地规模。作物种植辅助设施用地规模控制在设施农业项目用地总规模的</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%以内，原则上不超过1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亩；畜禽养殖辅助设施用地规模控制在设施农业项目用地总规模的1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%以内，原则上不超过</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亩，为整个或多个乡镇（街道）服务的集中式畜禽养殖辅助设施用地规模原则上不超过30亩。水产养殖辅助设施用地规模控制在设施农业项目用地总规模的10%以内，原则上不超过10亩。生猪养殖相配套的设施用地可不受用地规模限制。</w:t>
      </w:r>
    </w:p>
    <w:p>
      <w:pPr>
        <w:widowControl w:val="0"/>
        <w:ind w:firstLine="640" w:firstLine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000000" w:themeColor="text1"/>
          <w:sz w:val="32"/>
          <w:szCs w:val="32"/>
          <w14:textFill>
            <w14:solidFill>
              <w14:schemeClr w14:val="tx1"/>
            </w14:solidFill>
          </w14:textFill>
        </w:rPr>
        <w:t>规模化粮食生产</w:t>
      </w:r>
      <w:r>
        <w:rPr>
          <w:rFonts w:hint="eastAsia" w:ascii="仿宋_GB2312" w:hAnsi="仿宋_GB2312" w:eastAsia="仿宋_GB2312" w:cs="仿宋_GB2312"/>
          <w:sz w:val="32"/>
          <w:szCs w:val="32"/>
        </w:rPr>
        <w:t>（种植面积达</w:t>
      </w: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亩以上）</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sz w:val="32"/>
          <w:szCs w:val="32"/>
        </w:rPr>
        <w:t>配套设施用地规模不超过</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亩</w:t>
      </w:r>
      <w:r>
        <w:rPr>
          <w:rFonts w:hint="eastAsia" w:ascii="仿宋_GB2312" w:hAnsi="仿宋_GB2312" w:eastAsia="仿宋_GB2312" w:cs="仿宋_GB2312"/>
          <w:color w:val="000000" w:themeColor="text1"/>
          <w:sz w:val="32"/>
          <w:szCs w:val="32"/>
          <w14:textFill>
            <w14:solidFill>
              <w14:schemeClr w14:val="tx1"/>
            </w14:solidFill>
          </w14:textFill>
        </w:rPr>
        <w:t>，设施农业项目已有的辅助设施，其用地规模纳入项目配套设施规模一并计算。</w:t>
      </w:r>
    </w:p>
    <w:p>
      <w:pPr>
        <w:widowControl w:val="0"/>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作物种植中的辅助设施和配套设施原则上控制在单层，其中辅助设施允许建设两层简易板房建筑，单个看护房面积不超过15平方米。畜禽、水产养殖设施允许建设多层建筑。</w:t>
      </w:r>
    </w:p>
    <w:p>
      <w:pPr>
        <w:widowControl w:val="0"/>
        <w:numPr>
          <w:ilvl w:val="0"/>
          <w:numId w:val="2"/>
        </w:numPr>
        <w:spacing w:before="156" w:beforeLines="50" w:after="156" w:afterLines="50"/>
        <w:ind w:firstLine="0" w:firstLineChars="0"/>
        <w:jc w:val="center"/>
        <w:rPr>
          <w:b/>
          <w:bCs/>
          <w:sz w:val="32"/>
          <w:szCs w:val="32"/>
        </w:rPr>
      </w:pPr>
      <w:r>
        <w:rPr>
          <w:rFonts w:hint="eastAsia"/>
          <w:b/>
          <w:bCs/>
          <w:sz w:val="32"/>
          <w:szCs w:val="32"/>
        </w:rPr>
        <w:t xml:space="preserve"> 用地选址</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设施农业用地应尽量利用荒山、荒坡、荒丘、荒滩等未利用地和低效闲置土地，不占或少占耕地</w:t>
      </w:r>
      <w:r>
        <w:rPr>
          <w:rFonts w:hint="eastAsia" w:ascii="仿宋_GB2312" w:hAnsi="仿宋_GB2312" w:eastAsia="仿宋_GB2312" w:cs="仿宋_GB2312"/>
          <w:sz w:val="32"/>
          <w:szCs w:val="32"/>
        </w:rPr>
        <w:t>，节约集约用地，鼓励使用原有设施农业用地进行农业生产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除法律法规允许的情形外，严禁在生态保护红线范围内及饮用水源地一级保护区、自然保护地核心区以及生态环境安全控制区新增设施农业建设。  </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 xml:space="preserve"> 畜禽水产养殖设施和破坏耕作层的种植业设施</w:t>
      </w:r>
      <w:r>
        <w:rPr>
          <w:rFonts w:ascii="仿宋_GB2312" w:hAnsi="仿宋_GB2312" w:eastAsia="仿宋_GB2312" w:cs="仿宋_GB2312"/>
          <w:sz w:val="32"/>
          <w:szCs w:val="32"/>
        </w:rPr>
        <w:t>确需占用耕地的，</w:t>
      </w:r>
      <w:r>
        <w:rPr>
          <w:rFonts w:hint="eastAsia" w:ascii="仿宋_GB2312" w:hAnsi="仿宋_GB2312" w:eastAsia="仿宋_GB2312" w:cs="仿宋_GB2312"/>
          <w:sz w:val="32"/>
          <w:szCs w:val="32"/>
        </w:rPr>
        <w:t>应落实“以补定占、先补后占”，补充同等数量、质量的可以长期稳定利用的耕地，鼓励通过耕作层土壤剥离等工程技术措施，尽量减少对耕作层的破坏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w:t>
      </w:r>
    </w:p>
    <w:p>
      <w:pPr>
        <w:pStyle w:val="11"/>
        <w:widowControl w:val="0"/>
        <w:numPr>
          <w:ilvl w:val="255"/>
          <w:numId w:val="0"/>
        </w:numPr>
        <w:spacing w:beforeAutospacing="0" w:afterAutospacing="0" w:line="360" w:lineRule="atLeast"/>
        <w:ind w:firstLine="642" w:firstLineChars="200"/>
        <w:jc w:val="both"/>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color w:val="000000"/>
          <w:sz w:val="32"/>
          <w:szCs w:val="32"/>
        </w:rPr>
        <w:t>设施农业用地需</w:t>
      </w:r>
      <w:r>
        <w:rPr>
          <w:rFonts w:hint="eastAsia" w:ascii="仿宋_GB2312" w:hAnsi="Times New Roman" w:eastAsia="仿宋_GB2312"/>
          <w:sz w:val="32"/>
          <w:szCs w:val="32"/>
        </w:rPr>
        <w:t>占用耕地的，县级自然资源主管部门应组织踏勘论证，出具论证意见，明确项目是否破坏耕作层、是否落实补充耕地、是否落实土地复垦等事宜</w:t>
      </w:r>
      <w:r>
        <w:rPr>
          <w:rFonts w:hint="eastAsia" w:ascii="仿宋_GB2312" w:hAnsi="仿宋_GB2312" w:eastAsia="仿宋_GB2312" w:cs="仿宋_GB2312"/>
          <w:color w:val="000000"/>
          <w:sz w:val="32"/>
          <w:szCs w:val="32"/>
        </w:rPr>
        <w:t>。</w:t>
      </w:r>
    </w:p>
    <w:p>
      <w:pPr>
        <w:widowControl w:val="0"/>
        <w:numPr>
          <w:ilvl w:val="0"/>
          <w:numId w:val="2"/>
        </w:numPr>
        <w:spacing w:before="156" w:beforeLines="50" w:after="156" w:afterLines="50"/>
        <w:ind w:firstLine="0" w:firstLineChars="0"/>
        <w:jc w:val="center"/>
        <w:rPr>
          <w:b/>
          <w:bCs/>
          <w:sz w:val="32"/>
          <w:szCs w:val="32"/>
        </w:rPr>
      </w:pPr>
      <w:r>
        <w:rPr>
          <w:rFonts w:hint="eastAsia"/>
          <w:b/>
          <w:bCs/>
          <w:sz w:val="32"/>
          <w:szCs w:val="32"/>
        </w:rPr>
        <w:t>备案和上图入库</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设施农业用地实行备案管理，由乡镇政府（街道办事处）负责备案审核。设施农业用地备案按以下程序办理:</w:t>
      </w:r>
    </w:p>
    <w:p>
      <w:p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（一）签订用地协议。用地主体向农村集体经济组织和相关土地权利人提出土地使用意向（</w:t>
      </w:r>
      <w:r>
        <w:rPr>
          <w:rFonts w:ascii="仿宋_GB2312" w:hAnsi="仿宋_GB2312" w:eastAsia="仿宋_GB2312" w:cs="仿宋_GB2312"/>
          <w:sz w:val="32"/>
          <w:szCs w:val="32"/>
        </w:rPr>
        <w:t>一次性使用土地面积超过15亩的，应提供建设方案</w:t>
      </w:r>
      <w:r>
        <w:rPr>
          <w:rFonts w:hint="eastAsia" w:ascii="仿宋_GB2312" w:hAnsi="仿宋_GB2312" w:eastAsia="仿宋_GB2312" w:cs="仿宋_GB2312"/>
          <w:sz w:val="32"/>
          <w:szCs w:val="32"/>
        </w:rPr>
        <w:t>），明确建设地点、用地规模、建设类型、生产设施及辅助设施建设情况等事项，并就土地使用年限、土地用途、土地复垦要求及时限、土地交还和违约责任等土地使用条件进行协商。经协商同意后，农村集体经济组织应将以上信息通过村组政务公开栏予以公告，公告时间不少于</w:t>
      </w:r>
      <w:r>
        <w:rPr>
          <w:rFonts w:ascii="仿宋_GB2312" w:hAnsi="仿宋_GB2312" w:eastAsia="仿宋_GB2312" w:cs="仿宋_GB2312"/>
          <w:sz w:val="32"/>
          <w:szCs w:val="32"/>
        </w:rPr>
        <w:t>10天。公告结束后无异议的，由农村集体经济组织和用地主体签订用地协议。</w:t>
      </w:r>
    </w:p>
    <w:p>
      <w:pPr>
        <w:ind w:firstLine="640"/>
        <w:jc w:val="both"/>
        <w:rPr>
          <w:rFonts w:ascii="仿宋_GB2312" w:hAnsi="宋体" w:eastAsia="仿宋_GB2312" w:cs="仿宋_GB2312"/>
          <w:color w:val="000000"/>
          <w:kern w:val="0"/>
          <w:sz w:val="32"/>
          <w:szCs w:val="32"/>
          <w:lang w:bidi="ar"/>
        </w:rPr>
      </w:pPr>
      <w:r>
        <w:rPr>
          <w:rFonts w:hint="eastAsia" w:ascii="仿宋_GB2312" w:hAnsi="仿宋_GB2312" w:eastAsia="仿宋_GB2312" w:cs="仿宋_GB2312"/>
          <w:sz w:val="32"/>
          <w:szCs w:val="32"/>
        </w:rPr>
        <w:t>用地主体</w:t>
      </w:r>
      <w:r>
        <w:rPr>
          <w:rFonts w:ascii="仿宋_GB2312" w:hAnsi="宋体" w:eastAsia="仿宋_GB2312" w:cs="仿宋_GB2312"/>
          <w:color w:val="000000"/>
          <w:kern w:val="0"/>
          <w:sz w:val="32"/>
          <w:szCs w:val="32"/>
          <w:lang w:bidi="ar"/>
        </w:rPr>
        <w:t>利用本人承包经营土地</w:t>
      </w:r>
      <w:r>
        <w:rPr>
          <w:rFonts w:hint="eastAsia" w:ascii="仿宋_GB2312" w:hAnsi="仿宋_GB2312" w:eastAsia="仿宋_GB2312" w:cs="仿宋_GB2312"/>
          <w:sz w:val="32"/>
          <w:szCs w:val="32"/>
        </w:rPr>
        <w:t>从事设施农业建设</w:t>
      </w:r>
      <w:r>
        <w:rPr>
          <w:rFonts w:hint="eastAsia" w:ascii="仿宋_GB2312" w:hAnsi="宋体" w:eastAsia="仿宋_GB2312" w:cs="仿宋_GB2312"/>
          <w:color w:val="000000"/>
          <w:kern w:val="0"/>
          <w:sz w:val="32"/>
          <w:szCs w:val="32"/>
          <w:lang w:bidi="ar"/>
        </w:rPr>
        <w:t>的，无需签订用地协议。</w:t>
      </w:r>
    </w:p>
    <w:p>
      <w:pPr>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（二）用地备案。用地主体应向属地乡镇政府（街道办事处）提交备案申报表、用地协议、建设方案（用地面积超过</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亩的提供）、项目范围矢量坐标等备案申报材料，申请用地备案。乡镇政府（街道办事处）收到备案申报材料后，应及时组织审查，通过征询意见或联审会等方式与县级有关部门建立协同审查机制，并在15个工作日内反馈审查意见。涉及占用耕地、林地等，用地主体应在申报备案前先行办理相关手续。</w:t>
      </w:r>
    </w:p>
    <w:p>
      <w:pPr>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国有农（林）场的设施农业用地，由用地主体与国有农（林）场签订用地协议，向所在地县级自然资源主管部门和农业农村主管部门备案。国有农（林）场利用本农（林）场土地发展设施农业的，无需签订用地协议。</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存在以下情形之一的，应当撤销设施农业用地备案。</w:t>
      </w:r>
    </w:p>
    <w:p>
      <w:pPr>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（一）用地备案后一年内未动工建设；</w:t>
      </w:r>
    </w:p>
    <w:p>
      <w:pPr>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（二）用地主体存在违法违规从事非农业生产活动、且未在规定时限内整改到位的；</w:t>
      </w:r>
    </w:p>
    <w:p>
      <w:pPr>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（三）用地主体在土地使用期限内主动申请撤销的；</w:t>
      </w:r>
    </w:p>
    <w:p>
      <w:pPr>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（四）因规划调整、农业产业调整、土地征收等客观原因，不再实施原设施农业项目的；</w:t>
      </w:r>
    </w:p>
    <w:p>
      <w:pPr>
        <w:widowControl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（五）用地主体通过欺骗手段取得用地备案的。</w:t>
      </w:r>
    </w:p>
    <w:p>
      <w:pPr>
        <w:widowControl w:val="0"/>
        <w:numPr>
          <w:ilvl w:val="255"/>
          <w:numId w:val="0"/>
        </w:numPr>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sz w:val="32"/>
          <w:szCs w:val="32"/>
          <w:u w:val="none"/>
        </w:rPr>
        <w:t>设施农业用地备案后，</w:t>
      </w:r>
      <w:r>
        <w:rPr>
          <w:rFonts w:hint="eastAsia" w:ascii="仿宋_GB2312" w:hAnsi="仿宋_GB2312" w:eastAsia="仿宋_GB2312" w:cs="仿宋_GB2312"/>
          <w:sz w:val="32"/>
          <w:szCs w:val="32"/>
        </w:rPr>
        <w:t>由县级自然资源主管部门负责上图入库。</w:t>
      </w:r>
    </w:p>
    <w:p>
      <w:pPr>
        <w:pStyle w:val="2"/>
        <w:widowControl w:val="0"/>
        <w:numPr>
          <w:ilvl w:val="255"/>
          <w:numId w:val="0"/>
        </w:num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用地备案后1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工作日内，乡镇政府（街道办事处）应将用地备案材料提交至县级自然资源主管部门和农业农村主管部门，县级自然资源主管部门审查通过后，将设施农业用地信息在设施农业用地监管系统中上图入库。设施农业用地未按要求上图入库的，管理中不予认可。</w:t>
      </w:r>
    </w:p>
    <w:p>
      <w:pPr>
        <w:pStyle w:val="2"/>
        <w:widowControl w:val="0"/>
        <w:numPr>
          <w:ilvl w:val="255"/>
          <w:numId w:val="0"/>
        </w:numPr>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设施建成后，县级自然资源主管部门应及时拍摄能整体准确反映设施内外部建设情况的照片并在监管系统上图入库。</w:t>
      </w:r>
    </w:p>
    <w:p>
      <w:pPr>
        <w:pStyle w:val="2"/>
        <w:widowControl w:val="0"/>
        <w:numPr>
          <w:ilvl w:val="255"/>
          <w:numId w:val="0"/>
        </w:numPr>
        <w:ind w:firstLine="640"/>
        <w:jc w:val="both"/>
        <w:rPr>
          <w:rFonts w:ascii="仿宋_GB2312" w:hAnsi="仿宋_GB2312" w:eastAsia="仿宋_GB2312" w:cs="仿宋_GB2312"/>
          <w:kern w:val="2"/>
          <w:sz w:val="32"/>
          <w:szCs w:val="32"/>
          <w:u w:val="single"/>
        </w:rPr>
      </w:pPr>
      <w:r>
        <w:rPr>
          <w:rFonts w:hint="eastAsia" w:ascii="仿宋_GB2312" w:hAnsi="仿宋_GB2312" w:eastAsia="仿宋_GB2312" w:cs="仿宋_GB2312"/>
          <w:b/>
          <w:bCs/>
          <w:kern w:val="2"/>
          <w:sz w:val="32"/>
          <w:szCs w:val="32"/>
        </w:rPr>
        <w:t>第十五条</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u w:val="none"/>
        </w:rPr>
        <w:t>对应撤销备案的设施农业用地项目，由县级自然资源主管部门向省级自然资源主管部门提出申请，经省级自然资源主管部门同意后，退出设施农业用地监管系</w:t>
      </w:r>
      <w:bookmarkStart w:id="0" w:name="_GoBack"/>
      <w:bookmarkEnd w:id="0"/>
      <w:r>
        <w:rPr>
          <w:rFonts w:hint="eastAsia" w:ascii="仿宋_GB2312" w:hAnsi="仿宋_GB2312" w:eastAsia="仿宋_GB2312" w:cs="仿宋_GB2312"/>
          <w:kern w:val="2"/>
          <w:sz w:val="32"/>
          <w:szCs w:val="32"/>
          <w:u w:val="none"/>
        </w:rPr>
        <w:t>统。项目退库后，县级自然资源主管部门通知备案单位撤销用地备案。</w:t>
      </w:r>
    </w:p>
    <w:p>
      <w:pPr>
        <w:widowControl w:val="0"/>
        <w:numPr>
          <w:ilvl w:val="0"/>
          <w:numId w:val="2"/>
        </w:numPr>
        <w:spacing w:before="156" w:beforeLines="50" w:after="156" w:afterLines="50"/>
        <w:ind w:firstLine="0" w:firstLineChars="0"/>
        <w:jc w:val="center"/>
        <w:rPr>
          <w:b/>
          <w:bCs/>
          <w:sz w:val="32"/>
          <w:szCs w:val="32"/>
        </w:rPr>
      </w:pPr>
      <w:r>
        <w:rPr>
          <w:rFonts w:hint="eastAsia"/>
          <w:b/>
          <w:bCs/>
          <w:sz w:val="32"/>
          <w:szCs w:val="32"/>
        </w:rPr>
        <w:t>项目变更</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设施农业用地使用年限原则上不超过10年，用地备案到期后，若需继续使用的，用地主体应重新签订用地协议并报乡镇政府（街道办事处）备案。</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设施农业生产发生变化的，包括改扩建、转为其他农业用途等，用地主体应及时向乡镇政府（街道办事处）报告，变更项目备案信息。</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设施农业用地改扩建涉及的新增用地按单独项目办理用地备案手续，项目名称注明为原项目改扩建，改扩建项目与原项目合计的总规模不得突破规定上限。</w:t>
      </w:r>
    </w:p>
    <w:p>
      <w:pPr>
        <w:widowControl w:val="0"/>
        <w:numPr>
          <w:ilvl w:val="0"/>
          <w:numId w:val="2"/>
        </w:numPr>
        <w:spacing w:before="156" w:beforeLines="50" w:after="156" w:afterLines="50"/>
        <w:ind w:firstLine="0" w:firstLineChars="0"/>
        <w:jc w:val="center"/>
        <w:rPr>
          <w:b/>
          <w:bCs/>
          <w:sz w:val="32"/>
          <w:szCs w:val="32"/>
        </w:rPr>
      </w:pPr>
      <w:r>
        <w:rPr>
          <w:rFonts w:hint="eastAsia"/>
          <w:b/>
          <w:bCs/>
          <w:sz w:val="32"/>
          <w:szCs w:val="32"/>
        </w:rPr>
        <w:t>土地复垦</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按照“谁破坏，谁复垦”的原则，设施农业用地涉及破坏耕地的，项目建设到期不再使用或因停止生产撤销项目备案的，设施农业用地主体应按有关规定恢复耕地种植或达到耕地种植条件。</w:t>
      </w:r>
    </w:p>
    <w:p>
      <w:pPr>
        <w:widowControl w:val="0"/>
        <w:ind w:firstLine="643"/>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县（市、区）自然资源主管部门可根据损毁耕地规模大小，要求设施农业用地主体编制土地复垦方案或土地复垦表（详见附件2），并足额预存土地复垦费。</w:t>
      </w:r>
    </w:p>
    <w:p>
      <w:pPr>
        <w:widowControl w:val="0"/>
        <w:ind w:firstLine="643"/>
        <w:jc w:val="both"/>
        <w:rPr>
          <w:rFonts w:ascii="仿宋_GB2312" w:hAnsi="Times New Roman" w:eastAsia="仿宋_GB2312" w:cs="Times New Roman"/>
          <w:sz w:val="32"/>
          <w:szCs w:val="32"/>
          <w:u w:val="single"/>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w:t>
      </w:r>
      <w:r>
        <w:rPr>
          <w:rFonts w:hint="eastAsia" w:ascii="仿宋_GB2312" w:hAnsi="Times New Roman" w:eastAsia="仿宋_GB2312" w:cs="Times New Roman"/>
          <w:sz w:val="32"/>
          <w:szCs w:val="32"/>
        </w:rPr>
        <w:t>乡镇政府</w:t>
      </w:r>
      <w:r>
        <w:rPr>
          <w:rFonts w:hint="eastAsia" w:ascii="仿宋_GB2312" w:hAnsi="仿宋_GB2312" w:eastAsia="仿宋_GB2312" w:cs="仿宋_GB2312"/>
          <w:sz w:val="32"/>
          <w:szCs w:val="32"/>
        </w:rPr>
        <w:t>（街道办事处）</w:t>
      </w:r>
      <w:r>
        <w:rPr>
          <w:rFonts w:hint="eastAsia" w:ascii="仿宋_GB2312" w:hAnsi="Times New Roman" w:eastAsia="仿宋_GB2312" w:cs="Times New Roman"/>
          <w:sz w:val="32"/>
          <w:szCs w:val="32"/>
        </w:rPr>
        <w:t>应督促用地主体</w:t>
      </w:r>
      <w:r>
        <w:rPr>
          <w:rFonts w:hint="eastAsia" w:ascii="仿宋_GB2312" w:hAnsi="仿宋_GB2312" w:eastAsia="仿宋_GB2312" w:cs="仿宋_GB2312"/>
          <w:sz w:val="32"/>
          <w:szCs w:val="32"/>
        </w:rPr>
        <w:t>在用地协议到期后六个月内</w:t>
      </w:r>
      <w:r>
        <w:rPr>
          <w:rFonts w:hint="eastAsia" w:ascii="仿宋_GB2312" w:hAnsi="Times New Roman" w:eastAsia="仿宋_GB2312" w:cs="Times New Roman"/>
          <w:sz w:val="32"/>
          <w:szCs w:val="32"/>
        </w:rPr>
        <w:t>完成土地复垦，并会同县级自然资源、农业农村等有关主管部门组织验收。用地主体不复垦或在复垦验收中经整改仍不合格的，由县级自然资源主管部门会同乡镇政府</w:t>
      </w:r>
      <w:r>
        <w:rPr>
          <w:rFonts w:hint="eastAsia" w:ascii="仿宋_GB2312" w:hAnsi="仿宋_GB2312" w:eastAsia="仿宋_GB2312" w:cs="仿宋_GB2312"/>
          <w:sz w:val="32"/>
          <w:szCs w:val="32"/>
        </w:rPr>
        <w:t>（街道办事处）</w:t>
      </w:r>
      <w:r>
        <w:rPr>
          <w:rFonts w:hint="eastAsia" w:ascii="仿宋_GB2312" w:hAnsi="Times New Roman" w:eastAsia="仿宋_GB2312" w:cs="Times New Roman"/>
          <w:sz w:val="32"/>
          <w:szCs w:val="32"/>
        </w:rPr>
        <w:t>代为组织复垦，产生的费用从预存的土地复垦费中支取。</w:t>
      </w:r>
      <w:r>
        <w:rPr>
          <w:rFonts w:hint="eastAsia" w:ascii="仿宋_GB2312" w:hAnsi="Times New Roman" w:eastAsia="仿宋_GB2312" w:cs="Times New Roman"/>
          <w:sz w:val="32"/>
          <w:szCs w:val="32"/>
          <w:u w:val="none"/>
        </w:rPr>
        <w:t>土地复垦经验收合格后，项目</w:t>
      </w:r>
      <w:r>
        <w:rPr>
          <w:rFonts w:hint="eastAsia" w:ascii="仿宋_GB2312" w:hAnsi="仿宋_GB2312" w:eastAsia="仿宋_GB2312" w:cs="仿宋_GB2312"/>
          <w:sz w:val="32"/>
          <w:szCs w:val="32"/>
          <w:u w:val="none"/>
        </w:rPr>
        <w:t>退出设施农业用地监管系统。</w:t>
      </w:r>
    </w:p>
    <w:p>
      <w:pPr>
        <w:widowControl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土地复垦产生的新增耕地，经验收合格的，可以作为县（市、区）补充耕地来源。</w:t>
      </w:r>
    </w:p>
    <w:p>
      <w:pPr>
        <w:widowControl w:val="0"/>
        <w:numPr>
          <w:ilvl w:val="0"/>
          <w:numId w:val="2"/>
        </w:numPr>
        <w:spacing w:before="156" w:beforeLines="50" w:after="156" w:afterLines="50"/>
        <w:ind w:firstLine="0" w:firstLineChars="0"/>
        <w:jc w:val="center"/>
        <w:rPr>
          <w:b/>
          <w:bCs/>
          <w:sz w:val="32"/>
          <w:szCs w:val="32"/>
        </w:rPr>
      </w:pPr>
      <w:r>
        <w:rPr>
          <w:rFonts w:hint="eastAsia"/>
          <w:b/>
          <w:bCs/>
          <w:sz w:val="32"/>
          <w:szCs w:val="32"/>
        </w:rPr>
        <w:t>监督检查</w:t>
      </w:r>
    </w:p>
    <w:p>
      <w:pPr>
        <w:adjustRightInd w:val="0"/>
        <w:snapToGrid w:val="0"/>
        <w:spacing w:line="600" w:lineRule="exact"/>
        <w:ind w:firstLine="643"/>
        <w:jc w:val="both"/>
        <w:rPr>
          <w:rFonts w:ascii="Times New Roman" w:hAnsi="Times New Roman" w:eastAsia="仿宋_GB2312"/>
          <w:sz w:val="32"/>
          <w:szCs w:val="32"/>
        </w:rPr>
      </w:pPr>
      <w:r>
        <w:rPr>
          <w:rFonts w:hint="eastAsia" w:ascii="仿宋_GB2312" w:hAnsi="仿宋_GB2312" w:eastAsia="仿宋_GB2312" w:cs="仿宋_GB2312"/>
          <w:b/>
          <w:bCs/>
          <w:sz w:val="32"/>
          <w:szCs w:val="32"/>
        </w:rPr>
        <w:t xml:space="preserve">第二十三条  </w:t>
      </w:r>
      <w:r>
        <w:rPr>
          <w:rFonts w:hint="eastAsia" w:ascii="Times New Roman" w:hAnsi="Times New Roman" w:eastAsia="仿宋_GB2312"/>
          <w:sz w:val="32"/>
          <w:szCs w:val="32"/>
        </w:rPr>
        <w:t>县级</w:t>
      </w:r>
      <w:r>
        <w:rPr>
          <w:rFonts w:ascii="Times New Roman" w:hAnsi="Times New Roman" w:eastAsia="仿宋_GB2312"/>
          <w:sz w:val="32"/>
          <w:szCs w:val="32"/>
        </w:rPr>
        <w:t>自然资源</w:t>
      </w:r>
      <w:r>
        <w:rPr>
          <w:rFonts w:hint="eastAsia" w:ascii="Times New Roman" w:hAnsi="Times New Roman" w:eastAsia="仿宋_GB2312"/>
          <w:sz w:val="32"/>
          <w:szCs w:val="32"/>
        </w:rPr>
        <w:t>、农业农村</w:t>
      </w:r>
      <w:r>
        <w:rPr>
          <w:rFonts w:ascii="Times New Roman" w:hAnsi="Times New Roman" w:eastAsia="仿宋_GB2312"/>
          <w:sz w:val="32"/>
          <w:szCs w:val="32"/>
        </w:rPr>
        <w:t>主管部门</w:t>
      </w:r>
      <w:r>
        <w:rPr>
          <w:rFonts w:hint="eastAsia" w:ascii="Times New Roman" w:hAnsi="Times New Roman" w:eastAsia="仿宋_GB2312"/>
          <w:sz w:val="32"/>
          <w:szCs w:val="32"/>
        </w:rPr>
        <w:t>应每半年</w:t>
      </w:r>
      <w:r>
        <w:rPr>
          <w:rFonts w:ascii="Times New Roman" w:hAnsi="Times New Roman" w:eastAsia="仿宋_GB2312"/>
          <w:sz w:val="32"/>
          <w:szCs w:val="32"/>
        </w:rPr>
        <w:t>通过政府信息公开平台主动公开一次辖区范围内设施农业用地台账信息</w:t>
      </w:r>
      <w:r>
        <w:rPr>
          <w:rFonts w:hint="eastAsia" w:ascii="Times New Roman" w:hAnsi="Times New Roman" w:eastAsia="仿宋_GB2312"/>
          <w:sz w:val="32"/>
          <w:szCs w:val="32"/>
        </w:rPr>
        <w:t>，</w:t>
      </w:r>
      <w:r>
        <w:rPr>
          <w:rFonts w:ascii="Times New Roman" w:hAnsi="Times New Roman" w:eastAsia="仿宋_GB2312"/>
          <w:sz w:val="32"/>
          <w:szCs w:val="32"/>
        </w:rPr>
        <w:t>主动公开设施农业用地监督举报方式，接受公众监督。</w:t>
      </w:r>
    </w:p>
    <w:p>
      <w:pPr>
        <w:adjustRightInd w:val="0"/>
        <w:snapToGrid w:val="0"/>
        <w:spacing w:line="600" w:lineRule="exact"/>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w:t>
      </w:r>
      <w:r>
        <w:rPr>
          <w:rFonts w:hint="eastAsia" w:ascii="Times New Roman" w:hAnsi="Times New Roman" w:eastAsia="仿宋_GB2312" w:cs="Times New Roman"/>
          <w:sz w:val="32"/>
          <w:szCs w:val="32"/>
        </w:rPr>
        <w:t>各级自然资源、农业农村等主管部门应将设施农业用地及设施建设、经营行为等纳入日常监管范围。</w:t>
      </w:r>
      <w:r>
        <w:rPr>
          <w:rFonts w:ascii="Times New Roman" w:hAnsi="Times New Roman" w:eastAsia="仿宋_GB2312" w:cs="Times New Roman"/>
          <w:sz w:val="32"/>
          <w:szCs w:val="32"/>
        </w:rPr>
        <w:t>县级自然资源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农业农村主管部门每年</w:t>
      </w:r>
      <w:r>
        <w:rPr>
          <w:rFonts w:hint="eastAsia" w:ascii="Times New Roman" w:hAnsi="Times New Roman" w:eastAsia="仿宋_GB2312" w:cs="Times New Roman"/>
          <w:sz w:val="32"/>
          <w:szCs w:val="32"/>
        </w:rPr>
        <w:t>应不定期</w:t>
      </w:r>
      <w:r>
        <w:rPr>
          <w:rFonts w:ascii="Times New Roman" w:hAnsi="Times New Roman" w:eastAsia="仿宋_GB2312" w:cs="Times New Roman"/>
          <w:sz w:val="32"/>
          <w:szCs w:val="32"/>
        </w:rPr>
        <w:t>对辖区内的设施农业用地</w:t>
      </w:r>
      <w:r>
        <w:rPr>
          <w:rFonts w:hint="eastAsia" w:ascii="Times New Roman" w:hAnsi="Times New Roman" w:eastAsia="仿宋_GB2312" w:cs="Times New Roman"/>
          <w:sz w:val="32"/>
          <w:szCs w:val="32"/>
        </w:rPr>
        <w:t>进行检查抽</w:t>
      </w:r>
      <w:r>
        <w:rPr>
          <w:rFonts w:ascii="Times New Roman" w:hAnsi="Times New Roman" w:eastAsia="仿宋_GB2312" w:cs="Times New Roman"/>
          <w:sz w:val="32"/>
          <w:szCs w:val="32"/>
        </w:rPr>
        <w:t>查</w:t>
      </w:r>
      <w:r>
        <w:rPr>
          <w:rFonts w:hint="eastAsia" w:ascii="Times New Roman" w:hAnsi="Times New Roman" w:eastAsia="仿宋_GB2312" w:cs="Times New Roman"/>
          <w:sz w:val="32"/>
          <w:szCs w:val="32"/>
        </w:rPr>
        <w:t>，抽</w:t>
      </w:r>
      <w:r>
        <w:rPr>
          <w:rFonts w:ascii="Times New Roman" w:hAnsi="Times New Roman" w:eastAsia="仿宋_GB2312" w:cs="Times New Roman"/>
          <w:sz w:val="32"/>
          <w:szCs w:val="32"/>
        </w:rPr>
        <w:t>查比例</w:t>
      </w:r>
      <w:r>
        <w:rPr>
          <w:rFonts w:hint="eastAsia" w:ascii="Times New Roman" w:hAnsi="Times New Roman" w:eastAsia="仿宋_GB2312" w:cs="Times New Roman"/>
          <w:sz w:val="32"/>
          <w:szCs w:val="32"/>
        </w:rPr>
        <w:t>原则上</w:t>
      </w:r>
      <w:r>
        <w:rPr>
          <w:rFonts w:ascii="Times New Roman" w:hAnsi="Times New Roman" w:eastAsia="仿宋_GB2312" w:cs="Times New Roman"/>
          <w:sz w:val="32"/>
          <w:szCs w:val="32"/>
        </w:rPr>
        <w:t>不低于20%；</w:t>
      </w:r>
      <w:r>
        <w:rPr>
          <w:rFonts w:hint="eastAsia" w:ascii="Times New Roman" w:hAnsi="Times New Roman" w:eastAsia="仿宋_GB2312" w:cs="Times New Roman"/>
          <w:sz w:val="32"/>
          <w:szCs w:val="32"/>
        </w:rPr>
        <w:t>设区市</w:t>
      </w:r>
      <w:r>
        <w:rPr>
          <w:rFonts w:ascii="Times New Roman" w:hAnsi="Times New Roman" w:eastAsia="仿宋_GB2312" w:cs="Times New Roman"/>
          <w:sz w:val="32"/>
          <w:szCs w:val="32"/>
        </w:rPr>
        <w:t>自然资源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农业农村</w:t>
      </w:r>
      <w:r>
        <w:rPr>
          <w:rFonts w:hint="eastAsia" w:ascii="Times New Roman" w:hAnsi="Times New Roman" w:eastAsia="仿宋_GB2312" w:cs="Times New Roman"/>
          <w:sz w:val="32"/>
          <w:szCs w:val="32"/>
        </w:rPr>
        <w:t>主管部门</w:t>
      </w:r>
      <w:r>
        <w:rPr>
          <w:rFonts w:ascii="Times New Roman" w:hAnsi="Times New Roman" w:eastAsia="仿宋_GB2312" w:cs="Times New Roman"/>
          <w:sz w:val="32"/>
          <w:szCs w:val="32"/>
        </w:rPr>
        <w:t>每年</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对辖区内的设施农业用地至少开展一次</w:t>
      </w:r>
      <w:r>
        <w:rPr>
          <w:rFonts w:hint="eastAsia" w:ascii="Times New Roman" w:hAnsi="Times New Roman" w:eastAsia="仿宋_GB2312" w:cs="Times New Roman"/>
          <w:sz w:val="32"/>
          <w:szCs w:val="32"/>
        </w:rPr>
        <w:t>抽</w:t>
      </w:r>
      <w:r>
        <w:rPr>
          <w:rFonts w:ascii="Times New Roman" w:hAnsi="Times New Roman" w:eastAsia="仿宋_GB2312" w:cs="Times New Roman"/>
          <w:sz w:val="32"/>
          <w:szCs w:val="32"/>
        </w:rPr>
        <w:t>查，</w:t>
      </w:r>
      <w:r>
        <w:rPr>
          <w:rFonts w:hint="eastAsia" w:ascii="Times New Roman" w:hAnsi="Times New Roman" w:eastAsia="仿宋_GB2312" w:cs="Times New Roman"/>
          <w:sz w:val="32"/>
          <w:szCs w:val="32"/>
        </w:rPr>
        <w:t>抽</w:t>
      </w:r>
      <w:r>
        <w:rPr>
          <w:rFonts w:ascii="Times New Roman" w:hAnsi="Times New Roman" w:eastAsia="仿宋_GB2312" w:cs="Times New Roman"/>
          <w:sz w:val="32"/>
          <w:szCs w:val="32"/>
        </w:rPr>
        <w:t>查比例</w:t>
      </w:r>
      <w:r>
        <w:rPr>
          <w:rFonts w:hint="eastAsia" w:ascii="Times New Roman" w:hAnsi="Times New Roman" w:eastAsia="仿宋_GB2312" w:cs="Times New Roman"/>
          <w:sz w:val="32"/>
          <w:szCs w:val="32"/>
        </w:rPr>
        <w:t>原则上</w:t>
      </w:r>
      <w:r>
        <w:rPr>
          <w:rFonts w:ascii="Times New Roman" w:hAnsi="Times New Roman" w:eastAsia="仿宋_GB2312" w:cs="Times New Roman"/>
          <w:sz w:val="32"/>
          <w:szCs w:val="32"/>
        </w:rPr>
        <w:t>不低于</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市、县（区）自然资源、农业农村主管部门应对抽查情况进行通报，对于抽查发现的问题，责令整改。</w:t>
      </w:r>
    </w:p>
    <w:p>
      <w:pPr>
        <w:adjustRightInd w:val="0"/>
        <w:snapToGrid w:val="0"/>
        <w:spacing w:line="600" w:lineRule="exact"/>
        <w:ind w:firstLine="640"/>
        <w:jc w:val="both"/>
        <w:rPr>
          <w:rFonts w:ascii="Times New Roman" w:hAnsi="Times New Roman" w:eastAsia="仿宋_GB2312" w:cs="Times New Roman"/>
          <w:sz w:val="32"/>
          <w:szCs w:val="32"/>
        </w:rPr>
      </w:pPr>
      <w:r>
        <w:rPr>
          <w:rFonts w:hint="eastAsia" w:ascii="仿宋_GB2312" w:hAnsi="仿宋_GB2312" w:eastAsia="仿宋_GB2312" w:cs="仿宋_GB2312"/>
          <w:sz w:val="32"/>
          <w:szCs w:val="32"/>
        </w:rPr>
        <w:t>省级自然资源、农业农村主管部门每年视情况对全省设施农业用地开展抽查。</w:t>
      </w:r>
    </w:p>
    <w:p>
      <w:pPr>
        <w:adjustRightInd w:val="0"/>
        <w:snapToGrid w:val="0"/>
        <w:spacing w:line="600" w:lineRule="exact"/>
        <w:ind w:firstLine="643"/>
        <w:jc w:val="both"/>
        <w:rPr>
          <w:rFonts w:ascii="Times New Roman" w:hAnsi="Times New Roman" w:eastAsia="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乡镇政府（街道办事处）应加强对辖区内设施农业用地日常监管，建立设施农业用地管理台账，每年开展巡查，及时发现和制止违反设施农业用地管理规定的行为，依法依规应当立案查处的，</w:t>
      </w:r>
      <w:r>
        <w:rPr>
          <w:rFonts w:ascii="仿宋_GB2312" w:hAnsi="仿宋_GB2312" w:eastAsia="仿宋_GB2312" w:cs="仿宋_GB2312"/>
          <w:sz w:val="32"/>
          <w:szCs w:val="32"/>
        </w:rPr>
        <w:t>予以立案</w:t>
      </w:r>
      <w:r>
        <w:rPr>
          <w:rFonts w:hint="eastAsia" w:ascii="仿宋_GB2312" w:hAnsi="仿宋_GB2312" w:eastAsia="仿宋_GB2312" w:cs="仿宋_GB2312"/>
          <w:sz w:val="32"/>
          <w:szCs w:val="32"/>
        </w:rPr>
        <w:t>查处。</w:t>
      </w:r>
    </w:p>
    <w:p>
      <w:pPr>
        <w:snapToGrid w:val="0"/>
        <w:spacing w:line="600" w:lineRule="exact"/>
        <w:ind w:firstLine="643"/>
        <w:jc w:val="both"/>
        <w:rPr>
          <w:rFonts w:ascii="Times New Roman" w:hAnsi="Times New Roman" w:eastAsia="仿宋_GB2312" w:cs="Times New Roman"/>
          <w:sz w:val="32"/>
          <w:szCs w:val="32"/>
        </w:rPr>
      </w:pPr>
      <w:r>
        <w:rPr>
          <w:rFonts w:hint="eastAsia" w:hAnsi="仿宋_GB2312" w:eastAsia="仿宋_GB2312"/>
          <w:b/>
          <w:bCs/>
          <w:sz w:val="32"/>
          <w:szCs w:val="32"/>
        </w:rPr>
        <w:t xml:space="preserve">第二十六条  </w:t>
      </w:r>
      <w:r>
        <w:rPr>
          <w:rFonts w:hint="eastAsia" w:ascii="仿宋_GB2312" w:hAnsi="仿宋_GB2312" w:eastAsia="仿宋_GB2312" w:cs="仿宋_GB2312"/>
          <w:sz w:val="32"/>
          <w:szCs w:val="32"/>
        </w:rPr>
        <w:t>市、县（区）自然资源、农业农村主管部门应将年度设施农业用地备案及上图入库、巡查抽查、信息公开等工作开展情况上报上一级自然资源、农业农村主管部门，工作开展情况纳入年度相关工作考核内容</w:t>
      </w:r>
      <w:r>
        <w:rPr>
          <w:rFonts w:hint="eastAsia" w:ascii="Times New Roman" w:hAnsi="Times New Roman" w:eastAsia="仿宋_GB2312" w:cs="Times New Roman"/>
          <w:sz w:val="32"/>
          <w:szCs w:val="32"/>
        </w:rPr>
        <w:t>。</w:t>
      </w:r>
      <w:r>
        <w:rPr>
          <w:rFonts w:ascii="Times New Roman" w:hAnsi="Times New Roman" w:eastAsia="楷体_GB2312" w:cs="Times New Roman"/>
          <w:sz w:val="32"/>
          <w:szCs w:val="32"/>
        </w:rPr>
        <w:t xml:space="preserve"> </w:t>
      </w:r>
    </w:p>
    <w:p>
      <w:pPr>
        <w:widowControl w:val="0"/>
        <w:numPr>
          <w:ilvl w:val="0"/>
          <w:numId w:val="2"/>
        </w:numPr>
        <w:spacing w:before="156" w:beforeLines="50" w:after="156" w:afterLines="50"/>
        <w:ind w:firstLine="0" w:firstLineChars="0"/>
        <w:jc w:val="center"/>
        <w:rPr>
          <w:b/>
          <w:bCs/>
          <w:sz w:val="32"/>
          <w:szCs w:val="32"/>
        </w:rPr>
      </w:pPr>
      <w:r>
        <w:rPr>
          <w:rFonts w:hint="eastAsia"/>
          <w:b/>
          <w:bCs/>
          <w:sz w:val="32"/>
          <w:szCs w:val="32"/>
        </w:rPr>
        <w:t>附  则</w:t>
      </w:r>
    </w:p>
    <w:p>
      <w:pPr>
        <w:widowControl w:val="0"/>
        <w:adjustRightInd w:val="0"/>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本办法自印发之日起施行，有效期5年。</w:t>
      </w:r>
    </w:p>
    <w:p>
      <w:pPr>
        <w:pStyle w:val="7"/>
        <w:ind w:left="0" w:leftChars="0" w:firstLine="643"/>
        <w:jc w:val="both"/>
        <w:outlineLvl w:val="0"/>
        <w:rPr>
          <w:rFonts w:ascii="Times New Roman" w:hAnsi="Times New Roman" w:eastAsia="仿宋_GB2312"/>
          <w:sz w:val="32"/>
          <w:szCs w:val="32"/>
        </w:rPr>
      </w:pPr>
      <w:r>
        <w:rPr>
          <w:rFonts w:hint="eastAsia" w:ascii="仿宋_GB2312" w:hAnsi="仿宋_GB2312" w:eastAsia="仿宋_GB2312" w:cs="仿宋_GB2312"/>
          <w:b/>
          <w:bCs/>
          <w:sz w:val="32"/>
          <w:szCs w:val="32"/>
        </w:rPr>
        <w:t>第二十八条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本办法由省自然资源厅、省农业农村厅负责解释。法律、法规、规章和上级文件另有规定的，从其规定。</w:t>
      </w:r>
    </w:p>
    <w:p>
      <w:pPr>
        <w:widowControl w:val="0"/>
        <w:adjustRightInd w:val="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江西省设施农业用地正面清单</w:t>
      </w:r>
    </w:p>
    <w:p>
      <w:pPr>
        <w:pStyle w:val="2"/>
        <w:widowControl w:val="0"/>
        <w:adjustRightInd w:val="0"/>
        <w:ind w:firstLine="0"/>
        <w:jc w:val="both"/>
        <w:rPr>
          <w:rFonts w:ascii="仿宋_GB2312" w:hAnsi="仿宋_GB2312" w:eastAsia="仿宋_GB2312" w:cs="仿宋_GB2312"/>
          <w:kern w:val="2"/>
          <w:sz w:val="32"/>
          <w:szCs w:val="32"/>
        </w:rPr>
      </w:pPr>
      <w:r>
        <w:t xml:space="preserve">                </w:t>
      </w:r>
      <w:r>
        <w:rPr>
          <w:rFonts w:ascii="仿宋_GB2312" w:hAnsi="仿宋_GB2312" w:eastAsia="仿宋_GB2312" w:cs="仿宋_GB2312"/>
          <w:kern w:val="2"/>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土地复垦表（模板）</w:t>
      </w:r>
    </w:p>
    <w:p>
      <w:pPr>
        <w:pStyle w:val="2"/>
        <w:ind w:firstLine="0"/>
      </w:pPr>
      <w:r>
        <w:br w:type="page"/>
      </w:r>
    </w:p>
    <w:p>
      <w:pPr>
        <w:widowControl w:val="0"/>
        <w:spacing w:line="240" w:lineRule="auto"/>
        <w:ind w:firstLine="0" w:firstLineChars="0"/>
        <w:jc w:val="both"/>
        <w:rPr>
          <w:rFonts w:ascii="黑体" w:hAnsi="黑体" w:eastAsia="黑体" w:cs="黑体"/>
          <w:sz w:val="32"/>
          <w:szCs w:val="32"/>
        </w:rPr>
      </w:pPr>
      <w:r>
        <w:rPr>
          <w:rFonts w:hint="eastAsia" w:ascii="黑体" w:hAnsi="黑体" w:eastAsia="黑体" w:cs="黑体"/>
          <w:sz w:val="32"/>
          <w:szCs w:val="32"/>
        </w:rPr>
        <w:t>附件1：</w:t>
      </w:r>
    </w:p>
    <w:p>
      <w:pPr>
        <w:widowControl w:val="0"/>
        <w:spacing w:line="240" w:lineRule="auto"/>
        <w:ind w:firstLine="0" w:firstLineChars="0"/>
        <w:jc w:val="center"/>
        <w:rPr>
          <w:rFonts w:ascii="方正小标宋简体" w:hAnsi="华文中宋" w:eastAsia="方正小标宋简体" w:cs="华文中宋"/>
          <w:sz w:val="36"/>
          <w:szCs w:val="36"/>
        </w:rPr>
      </w:pPr>
      <w:r>
        <w:rPr>
          <w:rFonts w:hint="eastAsia" w:ascii="方正小标宋简体" w:hAnsi="华文中宋" w:eastAsia="方正小标宋简体" w:cs="华文中宋"/>
          <w:sz w:val="36"/>
          <w:szCs w:val="36"/>
        </w:rPr>
        <w:t>江西省设施农业用地正面清单</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649"/>
        <w:gridCol w:w="2649"/>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77" w:type="dxa"/>
            <w:vAlign w:val="center"/>
          </w:tcPr>
          <w:p>
            <w:pPr>
              <w:widowControl w:val="0"/>
              <w:ind w:firstLine="0" w:firstLineChars="0"/>
              <w:jc w:val="center"/>
              <w:textAlignment w:val="top"/>
              <w:rPr>
                <w:rFonts w:ascii="仿宋_GB2312" w:hAnsi="仿宋_GB2312" w:eastAsia="宋体" w:cs="仿宋_GB2312"/>
                <w:kern w:val="0"/>
                <w:sz w:val="24"/>
                <w:szCs w:val="24"/>
              </w:rPr>
            </w:pPr>
          </w:p>
        </w:tc>
        <w:tc>
          <w:tcPr>
            <w:tcW w:w="2649" w:type="dxa"/>
            <w:vAlign w:val="center"/>
          </w:tcPr>
          <w:p>
            <w:pPr>
              <w:widowControl w:val="0"/>
              <w:adjustRightInd w:val="0"/>
              <w:snapToGrid w:val="0"/>
              <w:spacing w:line="240" w:lineRule="auto"/>
              <w:ind w:firstLine="0" w:firstLineChars="0"/>
              <w:jc w:val="center"/>
              <w:textAlignment w:val="center"/>
              <w:rPr>
                <w:rFonts w:ascii="仿宋_GB2312" w:hAnsi="宋体" w:eastAsia="仿宋_GB2312" w:cs="仿宋_GB2312"/>
                <w:b/>
                <w:color w:val="000000"/>
                <w:kern w:val="0"/>
                <w:sz w:val="24"/>
                <w:szCs w:val="24"/>
                <w:lang w:bidi="ar"/>
              </w:rPr>
            </w:pPr>
            <w:r>
              <w:rPr>
                <w:rFonts w:hint="eastAsia" w:ascii="仿宋_GB2312" w:hAnsi="宋体" w:eastAsia="仿宋_GB2312" w:cs="仿宋_GB2312"/>
                <w:b/>
                <w:color w:val="000000"/>
                <w:kern w:val="0"/>
                <w:sz w:val="24"/>
                <w:szCs w:val="24"/>
                <w:lang w:bidi="ar"/>
              </w:rPr>
              <w:t>作物种植</w:t>
            </w:r>
          </w:p>
        </w:tc>
        <w:tc>
          <w:tcPr>
            <w:tcW w:w="2649" w:type="dxa"/>
            <w:vAlign w:val="center"/>
          </w:tcPr>
          <w:p>
            <w:pPr>
              <w:widowControl w:val="0"/>
              <w:adjustRightInd w:val="0"/>
              <w:snapToGrid w:val="0"/>
              <w:spacing w:line="240" w:lineRule="auto"/>
              <w:ind w:firstLine="0" w:firstLineChars="0"/>
              <w:jc w:val="center"/>
              <w:textAlignment w:val="center"/>
              <w:rPr>
                <w:rFonts w:ascii="仿宋_GB2312" w:hAnsi="宋体" w:eastAsia="仿宋_GB2312" w:cs="仿宋_GB2312"/>
                <w:b/>
                <w:color w:val="000000"/>
                <w:kern w:val="0"/>
                <w:sz w:val="24"/>
                <w:szCs w:val="24"/>
                <w:lang w:bidi="ar"/>
              </w:rPr>
            </w:pPr>
            <w:r>
              <w:rPr>
                <w:rFonts w:hint="eastAsia" w:ascii="仿宋_GB2312" w:hAnsi="宋体" w:eastAsia="仿宋_GB2312" w:cs="仿宋_GB2312"/>
                <w:b/>
                <w:color w:val="000000"/>
                <w:kern w:val="0"/>
                <w:sz w:val="24"/>
                <w:szCs w:val="24"/>
                <w:lang w:bidi="ar"/>
              </w:rPr>
              <w:t>畜禽养殖</w:t>
            </w:r>
          </w:p>
        </w:tc>
        <w:tc>
          <w:tcPr>
            <w:tcW w:w="2647" w:type="dxa"/>
            <w:vAlign w:val="center"/>
          </w:tcPr>
          <w:p>
            <w:pPr>
              <w:widowControl w:val="0"/>
              <w:adjustRightInd w:val="0"/>
              <w:snapToGrid w:val="0"/>
              <w:spacing w:line="240" w:lineRule="auto"/>
              <w:ind w:firstLine="0" w:firstLineChars="0"/>
              <w:jc w:val="center"/>
              <w:textAlignment w:val="center"/>
              <w:rPr>
                <w:rFonts w:ascii="仿宋_GB2312" w:hAnsi="宋体" w:eastAsia="仿宋_GB2312" w:cs="仿宋_GB2312"/>
                <w:b/>
                <w:color w:val="000000"/>
                <w:kern w:val="0"/>
                <w:sz w:val="24"/>
                <w:szCs w:val="24"/>
                <w:lang w:bidi="ar"/>
              </w:rPr>
            </w:pPr>
            <w:r>
              <w:rPr>
                <w:rFonts w:hint="eastAsia" w:ascii="仿宋_GB2312" w:hAnsi="宋体" w:eastAsia="仿宋_GB2312" w:cs="仿宋_GB2312"/>
                <w:b/>
                <w:color w:val="000000"/>
                <w:kern w:val="0"/>
                <w:sz w:val="24"/>
                <w:szCs w:val="24"/>
                <w:lang w:bidi="ar"/>
              </w:rPr>
              <w:t>水产养殖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577" w:type="dxa"/>
            <w:vMerge w:val="restart"/>
            <w:vAlign w:val="center"/>
          </w:tcPr>
          <w:p>
            <w:pPr>
              <w:widowControl w:val="0"/>
              <w:ind w:firstLine="0" w:firstLineChars="0"/>
              <w:jc w:val="center"/>
              <w:textAlignment w:val="top"/>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生产设施</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工厂化作物栽培中有钢架结构的玻璃或PC板连栋温室用地、塑料大棚、遮荫棚等；育秧育种育苗场所；食用菌工厂化生产用地</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畜禽圈舍，饲料配制场所，活动训练场所，鲜蛋收集、挤奶、孵化、剪毛等产品收集、分拣包装场所，人员、畜禽及其产品、车辆等消毒场所，兽医室，家畜采精室、人工授精室，绿化隔离带、场内通道、进排水渠道等设施用地</w:t>
            </w:r>
          </w:p>
        </w:tc>
        <w:tc>
          <w:tcPr>
            <w:tcW w:w="2647" w:type="dxa"/>
            <w:vAlign w:val="center"/>
          </w:tcPr>
          <w:p>
            <w:pPr>
              <w:widowControl w:val="0"/>
              <w:snapToGrid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硬化养殖池、给排水设施、亲本培育系统、苗种培育系统、成鱼养殖设施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77" w:type="dxa"/>
            <w:vMerge w:val="continue"/>
            <w:vAlign w:val="center"/>
          </w:tcPr>
          <w:p>
            <w:pPr>
              <w:widowControl w:val="0"/>
              <w:ind w:firstLine="0" w:firstLineChars="0"/>
              <w:jc w:val="center"/>
              <w:textAlignment w:val="top"/>
              <w:rPr>
                <w:rFonts w:ascii="仿宋_GB2312" w:hAnsi="仿宋_GB2312" w:eastAsia="仿宋_GB2312" w:cs="仿宋_GB2312"/>
                <w:kern w:val="0"/>
                <w:sz w:val="24"/>
                <w:szCs w:val="24"/>
              </w:rPr>
            </w:pP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连栋温室（大棚）的内部主要通道（宽度≤3m），其它棚室的内部通道（宽度1m）</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内部通道（宽度≤3m）。</w:t>
            </w:r>
          </w:p>
        </w:tc>
        <w:tc>
          <w:tcPr>
            <w:tcW w:w="2647" w:type="dxa"/>
            <w:vAlign w:val="center"/>
          </w:tcPr>
          <w:p>
            <w:pPr>
              <w:widowControl w:val="0"/>
              <w:spacing w:line="240" w:lineRule="auto"/>
              <w:ind w:firstLine="0" w:firstLineChars="0"/>
              <w:jc w:val="center"/>
              <w:rPr>
                <w:rFonts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内部通道（宽度≤3m）。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77" w:type="dxa"/>
            <w:vMerge w:val="restart"/>
            <w:vAlign w:val="center"/>
          </w:tcPr>
          <w:p>
            <w:pPr>
              <w:widowControl w:val="0"/>
              <w:ind w:firstLine="0" w:firstLineChars="0"/>
              <w:jc w:val="center"/>
              <w:textAlignment w:val="top"/>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辅助设施</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作物种植、栽培生产配套的植物检验检疫监测、植物病虫害防治等用地</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养殖生产配套的检验检疫监测、动物疫病防治、引种隔离、洗消转运、病死动物无害化处理等用地</w:t>
            </w: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无害化处理设施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577" w:type="dxa"/>
            <w:vMerge w:val="continue"/>
            <w:vAlign w:val="center"/>
          </w:tcPr>
          <w:p>
            <w:pPr>
              <w:widowControl w:val="0"/>
              <w:ind w:firstLine="0" w:firstLineChars="0"/>
              <w:jc w:val="center"/>
              <w:textAlignment w:val="top"/>
              <w:rPr>
                <w:rFonts w:ascii="仿宋_GB2312" w:hAnsi="仿宋_GB2312" w:eastAsia="仿宋_GB2312" w:cs="仿宋_GB2312"/>
                <w:kern w:val="0"/>
                <w:sz w:val="24"/>
                <w:szCs w:val="24"/>
              </w:rPr>
            </w:pPr>
          </w:p>
        </w:tc>
        <w:tc>
          <w:tcPr>
            <w:tcW w:w="2649" w:type="dxa"/>
            <w:vAlign w:val="center"/>
          </w:tcPr>
          <w:p>
            <w:pPr>
              <w:widowControl w:val="0"/>
              <w:shd w:val="clear" w:color="auto" w:fill="FFFFFF"/>
              <w:spacing w:before="180" w:line="240" w:lineRule="auto"/>
              <w:ind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直接为农作物生产服务的农资和农机具存放场所</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饲料（草）储存等直接为养殖生产服务的生产资料存放场所</w:t>
            </w: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饲料、药物存放场所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77" w:type="dxa"/>
            <w:vMerge w:val="continue"/>
            <w:vAlign w:val="center"/>
          </w:tcPr>
          <w:p>
            <w:pPr>
              <w:widowControl w:val="0"/>
              <w:ind w:firstLine="0" w:firstLineChars="0"/>
              <w:jc w:val="center"/>
              <w:textAlignment w:val="top"/>
              <w:rPr>
                <w:rFonts w:ascii="仿宋_GB2312" w:hAnsi="仿宋_GB2312" w:eastAsia="仿宋_GB2312" w:cs="仿宋_GB2312"/>
                <w:kern w:val="0"/>
                <w:sz w:val="24"/>
                <w:szCs w:val="24"/>
              </w:rPr>
            </w:pP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生产准备、分拣包装、农产品初加工场所、烘烟房、炒茶车间、规模化粮食生产经营者自产稻谷加工用地</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农产品初加工场所、生产直接关联的生物质（有机）肥料生产用地</w:t>
            </w: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生产直接关联的生物质（有机）肥料生产用地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77" w:type="dxa"/>
            <w:vMerge w:val="continue"/>
            <w:vAlign w:val="center"/>
          </w:tcPr>
          <w:p>
            <w:pPr>
              <w:widowControl w:val="0"/>
              <w:ind w:firstLine="0" w:firstLineChars="0"/>
              <w:jc w:val="center"/>
              <w:textAlignment w:val="top"/>
              <w:rPr>
                <w:rFonts w:ascii="仿宋_GB2312" w:hAnsi="仿宋_GB2312" w:eastAsia="仿宋_GB2312" w:cs="仿宋_GB2312"/>
                <w:kern w:val="0"/>
                <w:sz w:val="24"/>
                <w:szCs w:val="24"/>
              </w:rPr>
            </w:pP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调控设施设备间、能源供应设施等</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调控设施设备间、能源供应设施等</w:t>
            </w: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调控设施设备间、能源供应设施等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77" w:type="dxa"/>
            <w:vMerge w:val="continue"/>
            <w:vAlign w:val="center"/>
          </w:tcPr>
          <w:p>
            <w:pPr>
              <w:widowControl w:val="0"/>
              <w:ind w:firstLine="0" w:firstLineChars="0"/>
              <w:jc w:val="center"/>
              <w:textAlignment w:val="top"/>
              <w:rPr>
                <w:rFonts w:ascii="仿宋_GB2312" w:hAnsi="仿宋_GB2312" w:eastAsia="仿宋_GB2312" w:cs="仿宋_GB2312"/>
                <w:kern w:val="0"/>
                <w:sz w:val="24"/>
                <w:szCs w:val="24"/>
              </w:rPr>
            </w:pP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农产品预冷、保鲜存储的临时冷库或仓库</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产品存储、冷藏、冷冻场所</w:t>
            </w: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鲜鱼运输、打氧、冷库等保鲜设施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77" w:type="dxa"/>
            <w:vMerge w:val="continue"/>
            <w:vAlign w:val="center"/>
          </w:tcPr>
          <w:p>
            <w:pPr>
              <w:widowControl w:val="0"/>
              <w:ind w:firstLine="0" w:firstLineChars="0"/>
              <w:jc w:val="center"/>
              <w:textAlignment w:val="top"/>
              <w:rPr>
                <w:rFonts w:ascii="仿宋_GB2312" w:hAnsi="仿宋_GB2312" w:eastAsia="仿宋_GB2312" w:cs="仿宋_GB2312"/>
                <w:kern w:val="0"/>
                <w:sz w:val="24"/>
                <w:szCs w:val="24"/>
              </w:rPr>
            </w:pPr>
          </w:p>
        </w:tc>
        <w:tc>
          <w:tcPr>
            <w:tcW w:w="2649" w:type="dxa"/>
            <w:vAlign w:val="center"/>
          </w:tcPr>
          <w:p>
            <w:pPr>
              <w:widowControl w:val="0"/>
              <w:shd w:val="clear" w:color="auto" w:fill="FFFFFF"/>
              <w:spacing w:before="180" w:line="240" w:lineRule="auto"/>
              <w:ind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废弃物、水处理设施、生产经营户作物栽培中产生的秸秆等废弃物收集、存储、处理场所及环保设施等用地</w:t>
            </w:r>
          </w:p>
        </w:tc>
        <w:tc>
          <w:tcPr>
            <w:tcW w:w="2649" w:type="dxa"/>
            <w:vAlign w:val="center"/>
          </w:tcPr>
          <w:p>
            <w:pPr>
              <w:widowControl w:val="0"/>
              <w:spacing w:line="240" w:lineRule="auto"/>
              <w:ind w:firstLine="0" w:firstLineChars="0"/>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畜禽粪便、污水等收集、存储、处理、利用等环保设施及场所</w:t>
            </w: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水产养殖水处理、抽水机房、泵房等用地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77" w:type="dxa"/>
            <w:vMerge w:val="continue"/>
            <w:vAlign w:val="center"/>
          </w:tcPr>
          <w:p>
            <w:pPr>
              <w:widowControl w:val="0"/>
              <w:ind w:firstLine="0" w:firstLineChars="0"/>
              <w:jc w:val="center"/>
              <w:textAlignment w:val="top"/>
              <w:rPr>
                <w:rFonts w:ascii="仿宋_GB2312" w:hAnsi="仿宋_GB2312" w:eastAsia="仿宋_GB2312" w:cs="仿宋_GB2312"/>
                <w:kern w:val="0"/>
                <w:sz w:val="24"/>
                <w:szCs w:val="24"/>
              </w:rPr>
            </w:pP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直接依附于作物种植主业，与主业同步建设，无法分割独立存在的烘干晾晒设施，以及农业生产直接相关的农作物晾晒场，包括农闲时临时用于非营利性停车场、村民健身等公共服务用地</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77" w:type="dxa"/>
            <w:vMerge w:val="continue"/>
            <w:vAlign w:val="center"/>
          </w:tcPr>
          <w:p>
            <w:pPr>
              <w:widowControl w:val="0"/>
              <w:ind w:firstLine="0" w:firstLineChars="0"/>
              <w:jc w:val="center"/>
              <w:textAlignment w:val="top"/>
              <w:rPr>
                <w:rFonts w:ascii="仿宋_GB2312" w:hAnsi="仿宋_GB2312" w:eastAsia="仿宋_GB2312" w:cs="仿宋_GB2312"/>
                <w:kern w:val="0"/>
                <w:sz w:val="24"/>
                <w:szCs w:val="24"/>
              </w:rPr>
            </w:pP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cs="仿宋_GB2312"/>
                <w:color w:val="000000"/>
                <w:sz w:val="24"/>
                <w:szCs w:val="24"/>
                <w:lang w:bidi="ar"/>
              </w:rPr>
              <w:t>简易的生产看护房（≤15平方米）</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cs="仿宋_GB2312"/>
                <w:sz w:val="24"/>
                <w:szCs w:val="24"/>
              </w:rPr>
              <w:t>管理用房</w:t>
            </w: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cs="仿宋_GB2312"/>
                <w:sz w:val="24"/>
                <w:szCs w:val="24"/>
              </w:rPr>
              <w:t>管理用房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77" w:type="dxa"/>
            <w:vAlign w:val="center"/>
          </w:tcPr>
          <w:p>
            <w:pPr>
              <w:widowControl w:val="0"/>
              <w:ind w:firstLine="0" w:firstLineChars="0"/>
              <w:jc w:val="center"/>
              <w:textAlignment w:val="top"/>
              <w:rPr>
                <w:rFonts w:ascii="仿宋_GB2312" w:hAnsi="仿宋_GB2312" w:eastAsia="仿宋_GB2312" w:cs="仿宋_GB2312"/>
                <w:kern w:val="0"/>
                <w:sz w:val="24"/>
                <w:szCs w:val="24"/>
              </w:rPr>
            </w:pPr>
            <w:r>
              <w:rPr>
                <w:rFonts w:ascii="仿宋_GB2312" w:hAnsi="仿宋_GB2312" w:eastAsia="仿宋_GB2312" w:cs="仿宋_GB2312"/>
                <w:kern w:val="0"/>
                <w:sz w:val="24"/>
                <w:szCs w:val="24"/>
              </w:rPr>
              <w:t>配套设施</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规模化粮食生产所必需晾晒场、粮食果品烘干设施、粮食和农资临时存放场所、大型农机具临时存放场所</w:t>
            </w:r>
          </w:p>
        </w:tc>
        <w:tc>
          <w:tcPr>
            <w:tcW w:w="2649"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p>
        </w:tc>
        <w:tc>
          <w:tcPr>
            <w:tcW w:w="2647" w:type="dxa"/>
            <w:vAlign w:val="center"/>
          </w:tcPr>
          <w:p>
            <w:pPr>
              <w:widowControl w:val="0"/>
              <w:spacing w:line="240" w:lineRule="auto"/>
              <w:ind w:firstLine="0" w:firstLineChars="0"/>
              <w:jc w:val="center"/>
              <w:rPr>
                <w:rFonts w:ascii="仿宋_GB2312" w:hAnsi="仿宋_GB2312" w:eastAsia="仿宋_GB2312" w:cs="仿宋_GB2312"/>
                <w:color w:val="000000"/>
                <w:kern w:val="0"/>
                <w:sz w:val="24"/>
                <w:szCs w:val="24"/>
                <w:lang w:bidi="ar"/>
              </w:rPr>
            </w:pPr>
          </w:p>
        </w:tc>
      </w:tr>
    </w:tbl>
    <w:p>
      <w:pPr>
        <w:pStyle w:val="2"/>
        <w:ind w:firstLine="0"/>
      </w:pPr>
      <w:r>
        <w:br w:type="page"/>
      </w:r>
    </w:p>
    <w:p>
      <w:pPr>
        <w:widowControl w:val="0"/>
        <w:autoSpaceDE w:val="0"/>
        <w:autoSpaceDN w:val="0"/>
        <w:spacing w:line="435" w:lineRule="auto"/>
        <w:ind w:firstLine="0" w:firstLineChars="0"/>
        <w:jc w:val="both"/>
        <w:outlineLvl w:val="1"/>
        <w:rPr>
          <w:rFonts w:ascii="宋体" w:hAnsi="宋体" w:eastAsia="宋体" w:cs="宋体"/>
          <w:b/>
          <w:bCs/>
          <w:kern w:val="0"/>
          <w:sz w:val="32"/>
          <w:szCs w:val="32"/>
          <w:lang w:val="zh-CN" w:bidi="zh-CN"/>
        </w:rPr>
      </w:pPr>
      <w:r>
        <w:rPr>
          <w:rFonts w:hint="eastAsia" w:ascii="黑体" w:hAnsi="黑体" w:eastAsia="黑体" w:cs="黑体"/>
          <w:b/>
          <w:bCs/>
          <w:kern w:val="0"/>
          <w:sz w:val="32"/>
          <w:szCs w:val="32"/>
          <w:lang w:bidi="zh-CN"/>
        </w:rPr>
        <w:t>附件</w:t>
      </w:r>
      <w:r>
        <w:rPr>
          <w:rFonts w:ascii="黑体" w:hAnsi="黑体" w:eastAsia="黑体" w:cs="黑体"/>
          <w:b/>
          <w:bCs/>
          <w:kern w:val="0"/>
          <w:sz w:val="32"/>
          <w:szCs w:val="32"/>
          <w:lang w:bidi="zh-CN"/>
        </w:rPr>
        <w:t>2</w:t>
      </w:r>
      <w:r>
        <w:rPr>
          <w:rFonts w:hint="eastAsia" w:ascii="黑体" w:hAnsi="黑体" w:eastAsia="黑体" w:cs="黑体"/>
          <w:b/>
          <w:bCs/>
          <w:kern w:val="0"/>
          <w:sz w:val="32"/>
          <w:szCs w:val="32"/>
          <w:lang w:bidi="zh-CN"/>
        </w:rPr>
        <w:t>：</w:t>
      </w:r>
    </w:p>
    <w:p>
      <w:pPr>
        <w:widowControl w:val="0"/>
        <w:autoSpaceDE w:val="0"/>
        <w:autoSpaceDN w:val="0"/>
        <w:spacing w:before="23" w:line="240" w:lineRule="auto"/>
        <w:ind w:right="3056" w:firstLine="0" w:firstLineChars="0"/>
        <w:jc w:val="center"/>
        <w:rPr>
          <w:rFonts w:asciiTheme="majorEastAsia" w:hAnsiTheme="majorEastAsia" w:eastAsiaTheme="majorEastAsia" w:cstheme="majorEastAsia"/>
          <w:b/>
          <w:bCs/>
          <w:kern w:val="0"/>
          <w:sz w:val="44"/>
          <w:szCs w:val="44"/>
          <w:lang w:val="zh-CN" w:bidi="zh-CN"/>
        </w:rPr>
      </w:pPr>
      <w:r>
        <w:rPr>
          <w:rFonts w:asciiTheme="majorEastAsia" w:hAnsiTheme="majorEastAsia" w:eastAsiaTheme="majorEastAsia" w:cstheme="majorEastAsia"/>
          <w:b/>
          <w:bCs/>
          <w:kern w:val="0"/>
          <w:sz w:val="44"/>
          <w:szCs w:val="44"/>
          <w:lang w:bidi="zh-CN"/>
        </w:rPr>
        <w:t xml:space="preserve">             </w:t>
      </w:r>
      <w:r>
        <w:rPr>
          <w:rFonts w:hint="eastAsia" w:asciiTheme="majorEastAsia" w:hAnsiTheme="majorEastAsia" w:eastAsiaTheme="majorEastAsia" w:cstheme="majorEastAsia"/>
          <w:b/>
          <w:bCs/>
          <w:kern w:val="0"/>
          <w:sz w:val="44"/>
          <w:szCs w:val="44"/>
          <w:lang w:val="zh-CN" w:bidi="zh-CN"/>
        </w:rPr>
        <w:t>土地复垦表</w:t>
      </w:r>
    </w:p>
    <w:tbl>
      <w:tblPr>
        <w:tblStyle w:val="19"/>
        <w:tblW w:w="87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2710"/>
        <w:gridCol w:w="1275"/>
        <w:gridCol w:w="1418"/>
        <w:gridCol w:w="2268"/>
        <w:gridCol w:w="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113" w:type="dxa"/>
            <w:vMerge w:val="restart"/>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p>
            <w:pPr>
              <w:widowControl w:val="0"/>
              <w:autoSpaceDE w:val="0"/>
              <w:autoSpaceDN w:val="0"/>
              <w:adjustRightInd w:val="0"/>
              <w:snapToGrid w:val="0"/>
              <w:spacing w:line="480" w:lineRule="auto"/>
              <w:ind w:left="356" w:leftChars="127" w:right="1839" w:firstLine="0" w:firstLineChars="0"/>
              <w:jc w:val="both"/>
              <w:rPr>
                <w:rFonts w:ascii="仿宋_GB2312" w:hAnsi="Times New Roman" w:eastAsia="仿宋_GB2312" w:cs="Times New Roman"/>
                <w:kern w:val="0"/>
                <w:szCs w:val="28"/>
                <w:lang w:val="zh-CN" w:bidi="zh-CN"/>
              </w:rPr>
            </w:pP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both"/>
              <w:rPr>
                <w:rFonts w:ascii="仿宋_GB2312" w:hAnsi="Times New Roman" w:eastAsia="仿宋_GB2312" w:cs="Times New Roman"/>
                <w:kern w:val="0"/>
                <w:szCs w:val="28"/>
                <w:lang w:val="zh-CN" w:bidi="zh-CN"/>
              </w:rPr>
            </w:pP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项</w:t>
            </w: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目</w:t>
            </w: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概</w:t>
            </w: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p>
            <w:pPr>
              <w:widowControl w:val="0"/>
              <w:tabs>
                <w:tab w:val="left" w:pos="2164"/>
                <w:tab w:val="left" w:pos="2584"/>
                <w:tab w:val="left" w:pos="3004"/>
                <w:tab w:val="left" w:pos="3424"/>
                <w:tab w:val="left" w:pos="3844"/>
              </w:tabs>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况</w:t>
            </w:r>
          </w:p>
        </w:tc>
        <w:tc>
          <w:tcPr>
            <w:tcW w:w="2710" w:type="dxa"/>
          </w:tcPr>
          <w:p>
            <w:pPr>
              <w:widowControl w:val="0"/>
              <w:autoSpaceDE w:val="0"/>
              <w:autoSpaceDN w:val="0"/>
              <w:adjustRightInd w:val="0"/>
              <w:snapToGrid w:val="0"/>
              <w:spacing w:before="130" w:line="240" w:lineRule="auto"/>
              <w:ind w:left="12"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项目名称</w:t>
            </w:r>
          </w:p>
        </w:tc>
        <w:tc>
          <w:tcPr>
            <w:tcW w:w="4968" w:type="dxa"/>
            <w:gridSpan w:val="4"/>
            <w:vAlign w:val="center"/>
          </w:tcPr>
          <w:p>
            <w:pPr>
              <w:widowControl w:val="0"/>
              <w:autoSpaceDE w:val="0"/>
              <w:autoSpaceDN w:val="0"/>
              <w:adjustRightInd w:val="0"/>
              <w:snapToGrid w:val="0"/>
              <w:spacing w:before="130"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tcPr>
          <w:p>
            <w:pPr>
              <w:widowControl w:val="0"/>
              <w:autoSpaceDE w:val="0"/>
              <w:autoSpaceDN w:val="0"/>
              <w:adjustRightInd w:val="0"/>
              <w:snapToGrid w:val="0"/>
              <w:spacing w:before="128" w:line="240" w:lineRule="auto"/>
              <w:ind w:left="12"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单位名称</w:t>
            </w:r>
          </w:p>
        </w:tc>
        <w:tc>
          <w:tcPr>
            <w:tcW w:w="4968" w:type="dxa"/>
            <w:gridSpan w:val="4"/>
          </w:tcPr>
          <w:p>
            <w:pPr>
              <w:widowControl w:val="0"/>
              <w:autoSpaceDE w:val="0"/>
              <w:autoSpaceDN w:val="0"/>
              <w:adjustRightInd w:val="0"/>
              <w:snapToGrid w:val="0"/>
              <w:spacing w:before="128" w:line="240" w:lineRule="auto"/>
              <w:ind w:firstLine="0" w:firstLineChars="0"/>
              <w:jc w:val="center"/>
              <w:rPr>
                <w:rFonts w:ascii="仿宋_GB2312" w:hAnsi="Times New Roman" w:eastAsia="仿宋_GB2312" w:cs="Times New Roman"/>
                <w:kern w:val="0"/>
                <w:szCs w:val="28"/>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tcPr>
          <w:p>
            <w:pPr>
              <w:widowControl w:val="0"/>
              <w:autoSpaceDE w:val="0"/>
              <w:autoSpaceDN w:val="0"/>
              <w:adjustRightInd w:val="0"/>
              <w:snapToGrid w:val="0"/>
              <w:spacing w:before="128" w:line="240" w:lineRule="auto"/>
              <w:ind w:left="12"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单位地址</w:t>
            </w:r>
          </w:p>
        </w:tc>
        <w:tc>
          <w:tcPr>
            <w:tcW w:w="4968" w:type="dxa"/>
            <w:gridSpan w:val="4"/>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tcPr>
          <w:p>
            <w:pPr>
              <w:widowControl w:val="0"/>
              <w:autoSpaceDE w:val="0"/>
              <w:autoSpaceDN w:val="0"/>
              <w:adjustRightInd w:val="0"/>
              <w:snapToGrid w:val="0"/>
              <w:spacing w:before="128" w:line="240" w:lineRule="auto"/>
              <w:ind w:left="12"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法人代表</w:t>
            </w:r>
          </w:p>
        </w:tc>
        <w:tc>
          <w:tcPr>
            <w:tcW w:w="1275"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bidi="zh-CN"/>
              </w:rPr>
            </w:pPr>
          </w:p>
        </w:tc>
        <w:tc>
          <w:tcPr>
            <w:tcW w:w="141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联系电话</w:t>
            </w: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tcPr>
          <w:p>
            <w:pPr>
              <w:widowControl w:val="0"/>
              <w:autoSpaceDE w:val="0"/>
              <w:autoSpaceDN w:val="0"/>
              <w:adjustRightInd w:val="0"/>
              <w:snapToGrid w:val="0"/>
              <w:spacing w:before="128" w:line="240" w:lineRule="auto"/>
              <w:ind w:left="12"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项目位置</w:t>
            </w:r>
          </w:p>
        </w:tc>
        <w:tc>
          <w:tcPr>
            <w:tcW w:w="4968" w:type="dxa"/>
            <w:gridSpan w:val="4"/>
            <w:vAlign w:val="center"/>
          </w:tcPr>
          <w:p>
            <w:pPr>
              <w:widowControl w:val="0"/>
              <w:autoSpaceDE w:val="0"/>
              <w:autoSpaceDN w:val="0"/>
              <w:adjustRightInd w:val="0"/>
              <w:snapToGrid w:val="0"/>
              <w:spacing w:before="128" w:line="240" w:lineRule="auto"/>
              <w:ind w:firstLine="2240" w:firstLineChars="800"/>
              <w:jc w:val="center"/>
              <w:rPr>
                <w:rFonts w:ascii="仿宋_GB2312" w:hAnsi="Times New Roman" w:eastAsia="仿宋_GB2312" w:cs="Times New Roman"/>
                <w:kern w:val="0"/>
                <w:szCs w:val="28"/>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tcPr>
          <w:p>
            <w:pPr>
              <w:widowControl w:val="0"/>
              <w:autoSpaceDE w:val="0"/>
              <w:autoSpaceDN w:val="0"/>
              <w:adjustRightInd w:val="0"/>
              <w:snapToGrid w:val="0"/>
              <w:spacing w:before="118" w:line="240" w:lineRule="auto"/>
              <w:ind w:left="10"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项目区用地面积</w:t>
            </w:r>
          </w:p>
        </w:tc>
        <w:tc>
          <w:tcPr>
            <w:tcW w:w="4968" w:type="dxa"/>
            <w:gridSpan w:val="4"/>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tcPr>
          <w:p>
            <w:pPr>
              <w:widowControl w:val="0"/>
              <w:autoSpaceDE w:val="0"/>
              <w:autoSpaceDN w:val="0"/>
              <w:adjustRightInd w:val="0"/>
              <w:snapToGrid w:val="0"/>
              <w:spacing w:before="25" w:line="240" w:lineRule="auto"/>
              <w:ind w:left="10"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项目位置土地利用</w:t>
            </w:r>
          </w:p>
          <w:p>
            <w:pPr>
              <w:widowControl w:val="0"/>
              <w:autoSpaceDE w:val="0"/>
              <w:autoSpaceDN w:val="0"/>
              <w:adjustRightInd w:val="0"/>
              <w:snapToGrid w:val="0"/>
              <w:spacing w:before="43" w:line="240" w:lineRule="auto"/>
              <w:ind w:left="12"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现状图幅号</w:t>
            </w:r>
          </w:p>
        </w:tc>
        <w:tc>
          <w:tcPr>
            <w:tcW w:w="4968" w:type="dxa"/>
            <w:gridSpan w:val="4"/>
            <w:vAlign w:val="center"/>
          </w:tcPr>
          <w:p>
            <w:pPr>
              <w:widowControl w:val="0"/>
              <w:autoSpaceDE w:val="0"/>
              <w:autoSpaceDN w:val="0"/>
              <w:adjustRightInd w:val="0"/>
              <w:snapToGrid w:val="0"/>
              <w:spacing w:before="1" w:line="240" w:lineRule="auto"/>
              <w:ind w:left="2293" w:right="2279"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1113" w:type="dxa"/>
            <w:vMerge w:val="continue"/>
            <w:tcBorders>
              <w:top w:val="nil"/>
            </w:tcBorders>
            <w:textDirection w:val="tbRl"/>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生产年限</w:t>
            </w:r>
          </w:p>
        </w:tc>
        <w:tc>
          <w:tcPr>
            <w:tcW w:w="4968" w:type="dxa"/>
            <w:gridSpan w:val="4"/>
            <w:vAlign w:val="center"/>
          </w:tcPr>
          <w:p>
            <w:pPr>
              <w:widowControl w:val="0"/>
              <w:autoSpaceDE w:val="0"/>
              <w:autoSpaceDN w:val="0"/>
              <w:adjustRightInd w:val="0"/>
              <w:snapToGrid w:val="0"/>
              <w:spacing w:before="128"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113" w:type="dxa"/>
            <w:vMerge w:val="restart"/>
            <w:vAlign w:val="center"/>
          </w:tcPr>
          <w:p>
            <w:pPr>
              <w:widowControl w:val="0"/>
              <w:autoSpaceDE w:val="0"/>
              <w:autoSpaceDN w:val="0"/>
              <w:adjustRightInd w:val="0"/>
              <w:snapToGrid w:val="0"/>
              <w:spacing w:before="9" w:line="240" w:lineRule="auto"/>
              <w:ind w:firstLine="0" w:firstLineChars="0"/>
              <w:jc w:val="center"/>
              <w:rPr>
                <w:rFonts w:ascii="仿宋_GB2312" w:hAnsi="Times New Roman" w:eastAsia="仿宋_GB2312" w:cs="Times New Roman"/>
                <w:kern w:val="0"/>
                <w:szCs w:val="28"/>
                <w:lang w:val="zh-CN" w:bidi="zh-CN"/>
              </w:rPr>
            </w:pPr>
          </w:p>
          <w:p>
            <w:pPr>
              <w:widowControl w:val="0"/>
              <w:autoSpaceDE w:val="0"/>
              <w:autoSpaceDN w:val="0"/>
              <w:adjustRightInd w:val="0"/>
              <w:snapToGrid w:val="0"/>
              <w:spacing w:line="278" w:lineRule="auto"/>
              <w:ind w:left="196" w:right="185"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复垦区耕地利用现状</w:t>
            </w:r>
          </w:p>
        </w:tc>
        <w:tc>
          <w:tcPr>
            <w:tcW w:w="2710" w:type="dxa"/>
            <w:vMerge w:val="restart"/>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耕地类型</w:t>
            </w:r>
          </w:p>
        </w:tc>
        <w:tc>
          <w:tcPr>
            <w:tcW w:w="4968" w:type="dxa"/>
            <w:gridSpan w:val="4"/>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面积（</w:t>
            </w:r>
            <w:r>
              <w:rPr>
                <w:rFonts w:ascii="仿宋_GB2312" w:hAnsi="Times New Roman" w:eastAsia="仿宋_GB2312" w:cs="Times New Roman"/>
                <w:kern w:val="0"/>
                <w:szCs w:val="28"/>
                <w:lang w:val="zh-CN" w:bidi="zh-CN"/>
              </w:rPr>
              <w:t>hm</w:t>
            </w:r>
            <w:r>
              <w:rPr>
                <w:rFonts w:ascii="仿宋_GB2312" w:hAnsi="Times New Roman" w:eastAsia="仿宋_GB2312" w:cs="Times New Roman"/>
                <w:kern w:val="0"/>
                <w:szCs w:val="28"/>
                <w:vertAlign w:val="superscript"/>
                <w:lang w:val="zh-CN" w:bidi="zh-CN"/>
              </w:rPr>
              <w:t>2</w:t>
            </w:r>
            <w:r>
              <w:rPr>
                <w:rFonts w:hint="eastAsia" w:ascii="仿宋_GB2312" w:hAnsi="Times New Roman" w:eastAsia="仿宋_GB2312" w:cs="Times New Roman"/>
                <w:kern w:val="0"/>
                <w:szCs w:val="28"/>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367" w:hRule="atLeast"/>
          <w:jc w:val="center"/>
        </w:trPr>
        <w:tc>
          <w:tcPr>
            <w:tcW w:w="1113" w:type="dxa"/>
            <w:vMerge w:val="continue"/>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Merge w:val="continue"/>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c>
          <w:tcPr>
            <w:tcW w:w="1275" w:type="dxa"/>
            <w:vAlign w:val="center"/>
          </w:tcPr>
          <w:p>
            <w:pPr>
              <w:widowControl w:val="0"/>
              <w:autoSpaceDE w:val="0"/>
              <w:autoSpaceDN w:val="0"/>
              <w:adjustRightInd w:val="0"/>
              <w:snapToGrid w:val="0"/>
              <w:spacing w:before="128" w:line="240" w:lineRule="auto"/>
              <w:ind w:left="250" w:right="244"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小计</w:t>
            </w:r>
          </w:p>
        </w:tc>
        <w:tc>
          <w:tcPr>
            <w:tcW w:w="1418" w:type="dxa"/>
            <w:vAlign w:val="center"/>
          </w:tcPr>
          <w:p>
            <w:pPr>
              <w:widowControl w:val="0"/>
              <w:autoSpaceDE w:val="0"/>
              <w:autoSpaceDN w:val="0"/>
              <w:adjustRightInd w:val="0"/>
              <w:snapToGrid w:val="0"/>
              <w:spacing w:before="128"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已损毁</w:t>
            </w:r>
          </w:p>
        </w:tc>
        <w:tc>
          <w:tcPr>
            <w:tcW w:w="2268" w:type="dxa"/>
            <w:vAlign w:val="center"/>
          </w:tcPr>
          <w:p>
            <w:pPr>
              <w:widowControl w:val="0"/>
              <w:autoSpaceDE w:val="0"/>
              <w:autoSpaceDN w:val="0"/>
              <w:adjustRightInd w:val="0"/>
              <w:snapToGrid w:val="0"/>
              <w:spacing w:before="128"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拟损毁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492" w:hRule="atLeast"/>
          <w:jc w:val="center"/>
        </w:trPr>
        <w:tc>
          <w:tcPr>
            <w:tcW w:w="1113" w:type="dxa"/>
            <w:vMerge w:val="continue"/>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bidi="zh-CN"/>
              </w:rPr>
            </w:pPr>
            <w:r>
              <w:rPr>
                <w:rFonts w:hint="eastAsia" w:ascii="仿宋_GB2312" w:hAnsi="Times New Roman" w:eastAsia="仿宋_GB2312" w:cs="Times New Roman"/>
                <w:kern w:val="0"/>
                <w:szCs w:val="28"/>
                <w:lang w:bidi="zh-CN"/>
              </w:rPr>
              <w:t>旱地</w:t>
            </w:r>
          </w:p>
        </w:tc>
        <w:tc>
          <w:tcPr>
            <w:tcW w:w="1275"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c>
          <w:tcPr>
            <w:tcW w:w="141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c>
          <w:tcPr>
            <w:tcW w:w="226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04" w:hRule="atLeast"/>
          <w:jc w:val="center"/>
        </w:trPr>
        <w:tc>
          <w:tcPr>
            <w:tcW w:w="1113" w:type="dxa"/>
            <w:vMerge w:val="continue"/>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ar"/>
              </w:rPr>
            </w:pPr>
            <w:r>
              <w:rPr>
                <w:rFonts w:hint="eastAsia" w:ascii="仿宋_GB2312" w:hAnsi="Times New Roman" w:eastAsia="仿宋_GB2312" w:cs="Times New Roman"/>
                <w:color w:val="000000"/>
                <w:kern w:val="0"/>
                <w:szCs w:val="28"/>
                <w:lang w:bidi="ar"/>
              </w:rPr>
              <w:t>水浇地</w:t>
            </w:r>
          </w:p>
        </w:tc>
        <w:tc>
          <w:tcPr>
            <w:tcW w:w="1275"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c>
          <w:tcPr>
            <w:tcW w:w="141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c>
          <w:tcPr>
            <w:tcW w:w="226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04" w:hRule="atLeast"/>
          <w:jc w:val="center"/>
        </w:trPr>
        <w:tc>
          <w:tcPr>
            <w:tcW w:w="1113" w:type="dxa"/>
            <w:vMerge w:val="continue"/>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ar"/>
              </w:rPr>
            </w:pPr>
            <w:r>
              <w:rPr>
                <w:rFonts w:hint="eastAsia" w:ascii="仿宋_GB2312" w:hAnsi="Times New Roman" w:eastAsia="仿宋_GB2312" w:cs="Times New Roman"/>
                <w:color w:val="000000"/>
                <w:kern w:val="0"/>
                <w:szCs w:val="28"/>
                <w:lang w:bidi="ar"/>
              </w:rPr>
              <w:t>水田</w:t>
            </w:r>
          </w:p>
        </w:tc>
        <w:tc>
          <w:tcPr>
            <w:tcW w:w="1275"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c>
          <w:tcPr>
            <w:tcW w:w="141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c>
          <w:tcPr>
            <w:tcW w:w="226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52" w:hRule="atLeast"/>
          <w:jc w:val="center"/>
        </w:trPr>
        <w:tc>
          <w:tcPr>
            <w:tcW w:w="1113" w:type="dxa"/>
            <w:vMerge w:val="continue"/>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ar"/>
              </w:rPr>
            </w:pPr>
            <w:r>
              <w:rPr>
                <w:rFonts w:hint="eastAsia" w:ascii="仿宋_GB2312" w:hAnsi="Times New Roman" w:eastAsia="仿宋_GB2312" w:cs="Times New Roman"/>
                <w:kern w:val="0"/>
                <w:szCs w:val="28"/>
                <w:lang w:val="zh-CN" w:bidi="zh-CN"/>
              </w:rPr>
              <w:t>合计</w:t>
            </w:r>
          </w:p>
        </w:tc>
        <w:tc>
          <w:tcPr>
            <w:tcW w:w="1275"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c>
          <w:tcPr>
            <w:tcW w:w="141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c>
          <w:tcPr>
            <w:tcW w:w="2268"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1113" w:type="dxa"/>
            <w:vMerge w:val="restart"/>
            <w:vAlign w:val="center"/>
          </w:tcPr>
          <w:p>
            <w:pPr>
              <w:widowControl w:val="0"/>
              <w:autoSpaceDE w:val="0"/>
              <w:autoSpaceDN w:val="0"/>
              <w:adjustRightInd w:val="0"/>
              <w:snapToGrid w:val="0"/>
              <w:spacing w:line="278" w:lineRule="auto"/>
              <w:ind w:left="196" w:right="186"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复垦土地面积及费用</w:t>
            </w: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耕地类型</w:t>
            </w:r>
          </w:p>
        </w:tc>
        <w:tc>
          <w:tcPr>
            <w:tcW w:w="2693"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拟复垦面积（</w:t>
            </w:r>
            <w:r>
              <w:rPr>
                <w:rFonts w:ascii="仿宋_GB2312" w:hAnsi="Times New Roman" w:eastAsia="仿宋_GB2312" w:cs="Times New Roman"/>
                <w:kern w:val="0"/>
                <w:szCs w:val="28"/>
                <w:lang w:val="zh-CN" w:bidi="zh-CN"/>
              </w:rPr>
              <w:t>hm2</w:t>
            </w:r>
            <w:r>
              <w:rPr>
                <w:rFonts w:hint="eastAsia" w:ascii="仿宋_GB2312" w:hAnsi="Times New Roman" w:eastAsia="仿宋_GB2312" w:cs="Times New Roman"/>
                <w:kern w:val="0"/>
                <w:szCs w:val="28"/>
                <w:lang w:val="zh-CN" w:bidi="zh-CN"/>
              </w:rPr>
              <w:t>）</w:t>
            </w: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复垦费用（万元）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113" w:type="dxa"/>
            <w:vMerge w:val="continue"/>
            <w:tcBorders>
              <w:top w:val="nil"/>
            </w:tcBorders>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r>
              <w:rPr>
                <w:rFonts w:hint="eastAsia" w:ascii="仿宋_GB2312" w:hAnsi="Times New Roman" w:eastAsia="仿宋_GB2312" w:cs="Times New Roman"/>
                <w:kern w:val="0"/>
                <w:szCs w:val="28"/>
                <w:lang w:bidi="zh-CN"/>
              </w:rPr>
              <w:t>旱地</w:t>
            </w:r>
          </w:p>
        </w:tc>
        <w:tc>
          <w:tcPr>
            <w:tcW w:w="2693" w:type="dxa"/>
            <w:gridSpan w:val="2"/>
            <w:vAlign w:val="center"/>
          </w:tcPr>
          <w:p>
            <w:pPr>
              <w:widowControl w:val="0"/>
              <w:autoSpaceDE w:val="0"/>
              <w:autoSpaceDN w:val="0"/>
              <w:adjustRightInd w:val="0"/>
              <w:snapToGrid w:val="0"/>
              <w:spacing w:before="130" w:line="240" w:lineRule="auto"/>
              <w:ind w:left="7" w:firstLine="0" w:firstLineChars="0"/>
              <w:jc w:val="center"/>
              <w:rPr>
                <w:rFonts w:ascii="仿宋_GB2312" w:hAnsi="Times New Roman" w:eastAsia="仿宋_GB2312" w:cs="Times New Roman"/>
                <w:kern w:val="0"/>
                <w:szCs w:val="28"/>
                <w:lang w:val="zh-CN" w:bidi="zh-CN"/>
              </w:rPr>
            </w:pP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113" w:type="dxa"/>
            <w:vMerge w:val="continue"/>
            <w:tcBorders>
              <w:top w:val="nil"/>
            </w:tcBorders>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ar"/>
              </w:rPr>
            </w:pPr>
            <w:r>
              <w:rPr>
                <w:rFonts w:hint="eastAsia" w:ascii="仿宋_GB2312" w:hAnsi="Times New Roman" w:eastAsia="仿宋_GB2312" w:cs="Times New Roman"/>
                <w:color w:val="000000"/>
                <w:kern w:val="0"/>
                <w:szCs w:val="28"/>
                <w:lang w:bidi="ar"/>
              </w:rPr>
              <w:t>水浇地</w:t>
            </w:r>
          </w:p>
        </w:tc>
        <w:tc>
          <w:tcPr>
            <w:tcW w:w="2693" w:type="dxa"/>
            <w:gridSpan w:val="2"/>
            <w:vAlign w:val="center"/>
          </w:tcPr>
          <w:p>
            <w:pPr>
              <w:widowControl w:val="0"/>
              <w:autoSpaceDE w:val="0"/>
              <w:autoSpaceDN w:val="0"/>
              <w:adjustRightInd w:val="0"/>
              <w:snapToGrid w:val="0"/>
              <w:spacing w:before="130" w:line="240" w:lineRule="auto"/>
              <w:ind w:left="7" w:firstLine="0" w:firstLineChars="0"/>
              <w:jc w:val="center"/>
              <w:rPr>
                <w:rFonts w:ascii="仿宋_GB2312" w:hAnsi="Times New Roman" w:eastAsia="仿宋_GB2312" w:cs="Times New Roman"/>
                <w:kern w:val="0"/>
                <w:szCs w:val="28"/>
                <w:lang w:val="zh-CN" w:bidi="zh-CN"/>
              </w:rPr>
            </w:pP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113" w:type="dxa"/>
            <w:vMerge w:val="continue"/>
            <w:tcBorders>
              <w:top w:val="nil"/>
            </w:tcBorders>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kern w:val="0"/>
                <w:szCs w:val="28"/>
                <w:lang w:bidi="zh-CN"/>
              </w:rPr>
            </w:pPr>
            <w:r>
              <w:rPr>
                <w:rFonts w:hint="eastAsia" w:ascii="仿宋_GB2312" w:hAnsi="Times New Roman" w:eastAsia="仿宋_GB2312" w:cs="Times New Roman"/>
                <w:color w:val="000000"/>
                <w:kern w:val="0"/>
                <w:szCs w:val="28"/>
                <w:lang w:bidi="ar"/>
              </w:rPr>
              <w:t>水田</w:t>
            </w:r>
          </w:p>
        </w:tc>
        <w:tc>
          <w:tcPr>
            <w:tcW w:w="2693" w:type="dxa"/>
            <w:gridSpan w:val="2"/>
            <w:vAlign w:val="center"/>
          </w:tcPr>
          <w:p>
            <w:pPr>
              <w:widowControl w:val="0"/>
              <w:autoSpaceDE w:val="0"/>
              <w:autoSpaceDN w:val="0"/>
              <w:adjustRightInd w:val="0"/>
              <w:snapToGrid w:val="0"/>
              <w:spacing w:before="130" w:line="240" w:lineRule="auto"/>
              <w:ind w:left="7" w:firstLine="0" w:firstLineChars="0"/>
              <w:jc w:val="center"/>
              <w:rPr>
                <w:rFonts w:ascii="仿宋_GB2312" w:hAnsi="Times New Roman" w:eastAsia="仿宋_GB2312" w:cs="Times New Roman"/>
                <w:kern w:val="0"/>
                <w:szCs w:val="28"/>
                <w:lang w:val="zh-CN" w:bidi="zh-CN"/>
              </w:rPr>
            </w:pP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 w:hRule="atLeast"/>
          <w:jc w:val="center"/>
        </w:trPr>
        <w:tc>
          <w:tcPr>
            <w:tcW w:w="1113" w:type="dxa"/>
            <w:vMerge w:val="continue"/>
            <w:tcBorders>
              <w:top w:val="nil"/>
            </w:tcBorders>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p>
        </w:tc>
        <w:tc>
          <w:tcPr>
            <w:tcW w:w="2710" w:type="dxa"/>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val="zh-CN" w:bidi="zh-CN"/>
              </w:rPr>
            </w:pPr>
            <w:r>
              <w:rPr>
                <w:rFonts w:hint="eastAsia" w:ascii="仿宋_GB2312" w:hAnsi="Times New Roman" w:eastAsia="仿宋_GB2312" w:cs="Times New Roman"/>
                <w:kern w:val="0"/>
                <w:szCs w:val="28"/>
                <w:lang w:val="zh-CN" w:bidi="zh-CN"/>
              </w:rPr>
              <w:t>合计</w:t>
            </w:r>
          </w:p>
        </w:tc>
        <w:tc>
          <w:tcPr>
            <w:tcW w:w="2693"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val="zh-CN" w:bidi="zh-CN"/>
              </w:rPr>
            </w:pPr>
          </w:p>
        </w:tc>
        <w:tc>
          <w:tcPr>
            <w:tcW w:w="2275" w:type="dxa"/>
            <w:gridSpan w:val="2"/>
            <w:vAlign w:val="center"/>
          </w:tcPr>
          <w:p>
            <w:pPr>
              <w:widowControl w:val="0"/>
              <w:autoSpaceDE w:val="0"/>
              <w:autoSpaceDN w:val="0"/>
              <w:adjustRightInd w:val="0"/>
              <w:snapToGrid w:val="0"/>
              <w:spacing w:line="240" w:lineRule="auto"/>
              <w:ind w:firstLine="0" w:firstLineChars="0"/>
              <w:jc w:val="center"/>
              <w:rPr>
                <w:rFonts w:ascii="仿宋_GB2312" w:hAnsi="Times New Roman" w:eastAsia="仿宋_GB2312" w:cs="Times New Roman"/>
                <w:color w:val="000000"/>
                <w:kern w:val="0"/>
                <w:szCs w:val="28"/>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jc w:val="center"/>
        </w:trPr>
        <w:tc>
          <w:tcPr>
            <w:tcW w:w="1113" w:type="dxa"/>
            <w:vAlign w:val="center"/>
          </w:tcPr>
          <w:p>
            <w:pPr>
              <w:widowControl w:val="0"/>
              <w:autoSpaceDE w:val="0"/>
              <w:autoSpaceDN w:val="0"/>
              <w:adjustRightInd w:val="0"/>
              <w:snapToGrid w:val="0"/>
              <w:spacing w:line="240" w:lineRule="auto"/>
              <w:ind w:right="186"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工作</w:t>
            </w:r>
          </w:p>
          <w:p>
            <w:pPr>
              <w:widowControl w:val="0"/>
              <w:autoSpaceDE w:val="0"/>
              <w:autoSpaceDN w:val="0"/>
              <w:adjustRightInd w:val="0"/>
              <w:snapToGrid w:val="0"/>
              <w:spacing w:line="240" w:lineRule="auto"/>
              <w:ind w:right="186" w:firstLine="0" w:firstLineChars="0"/>
              <w:jc w:val="center"/>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计划</w:t>
            </w:r>
          </w:p>
        </w:tc>
        <w:tc>
          <w:tcPr>
            <w:tcW w:w="7678" w:type="dxa"/>
            <w:gridSpan w:val="5"/>
          </w:tcPr>
          <w:p>
            <w:pPr>
              <w:widowControl w:val="0"/>
              <w:autoSpaceDE w:val="0"/>
              <w:autoSpaceDN w:val="0"/>
              <w:adjustRightInd w:val="0"/>
              <w:snapToGrid w:val="0"/>
              <w:spacing w:line="240" w:lineRule="auto"/>
              <w:ind w:firstLine="0" w:firstLineChars="0"/>
              <w:rPr>
                <w:rFonts w:ascii="仿宋_GB2312" w:hAnsi="Times New Roman" w:eastAsia="仿宋_GB2312" w:cs="Times New Roman"/>
                <w:kern w:val="0"/>
                <w:szCs w:val="28"/>
                <w:lang w:val="zh-CN" w:bidi="zh-CN"/>
              </w:rPr>
            </w:pPr>
            <w:r>
              <w:rPr>
                <w:rFonts w:hint="eastAsia" w:ascii="仿宋_GB2312" w:hAnsi="Times New Roman" w:eastAsia="仿宋_GB2312" w:cs="Times New Roman"/>
                <w:kern w:val="0"/>
                <w:szCs w:val="28"/>
                <w:lang w:val="zh-CN" w:bidi="zh-CN"/>
              </w:rPr>
              <w:t>复垦时间计划安排：</w:t>
            </w:r>
          </w:p>
        </w:tc>
      </w:tr>
    </w:tbl>
    <w:p>
      <w:pPr>
        <w:widowControl w:val="0"/>
        <w:autoSpaceDE w:val="0"/>
        <w:autoSpaceDN w:val="0"/>
        <w:spacing w:line="240" w:lineRule="atLeast"/>
        <w:ind w:firstLine="0" w:firstLineChars="0"/>
        <w:rPr>
          <w:rFonts w:ascii="Times New Roman" w:hAnsi="Times New Roman" w:eastAsia="仿宋_GB2312" w:cs="Times New Roman"/>
          <w:kern w:val="0"/>
          <w:szCs w:val="28"/>
          <w:lang w:bidi="zh-CN"/>
        </w:rPr>
      </w:pPr>
      <w:r>
        <w:rPr>
          <w:rFonts w:ascii="Times New Roman" w:hAnsi="Times New Roman" w:eastAsia="仿宋_GB2312" w:cs="Times New Roman"/>
          <w:kern w:val="0"/>
          <w:szCs w:val="28"/>
          <w:lang w:val="zh-CN" w:bidi="zh-CN"/>
        </w:rPr>
        <w:t>填表</w:t>
      </w:r>
      <w:r>
        <w:rPr>
          <w:rFonts w:ascii="Times New Roman" w:hAnsi="Times New Roman" w:eastAsia="仿宋_GB2312" w:cs="Times New Roman"/>
          <w:spacing w:val="-3"/>
          <w:kern w:val="0"/>
          <w:szCs w:val="28"/>
          <w:lang w:val="zh-CN" w:bidi="zh-CN"/>
        </w:rPr>
        <w:t>人</w:t>
      </w:r>
      <w:r>
        <w:rPr>
          <w:rFonts w:hint="eastAsia" w:ascii="Times New Roman" w:hAnsi="Times New Roman" w:eastAsia="仿宋_GB2312" w:cs="Times New Roman"/>
          <w:spacing w:val="-3"/>
          <w:kern w:val="0"/>
          <w:szCs w:val="28"/>
          <w:lang w:bidi="zh-CN"/>
        </w:rPr>
        <w:t>：</w:t>
      </w:r>
      <w:r>
        <w:rPr>
          <w:rFonts w:ascii="Times New Roman" w:hAnsi="Times New Roman" w:eastAsia="仿宋_GB2312" w:cs="Times New Roman"/>
          <w:kern w:val="0"/>
          <w:szCs w:val="28"/>
          <w:lang w:bidi="zh-CN"/>
        </w:rPr>
        <w:t xml:space="preserve">XX                            </w:t>
      </w:r>
      <w:r>
        <w:rPr>
          <w:rFonts w:ascii="Times New Roman" w:hAnsi="Times New Roman" w:eastAsia="仿宋_GB2312" w:cs="Times New Roman"/>
          <w:kern w:val="0"/>
          <w:szCs w:val="28"/>
          <w:lang w:val="zh-CN" w:bidi="zh-CN"/>
        </w:rPr>
        <w:t>填</w:t>
      </w:r>
      <w:r>
        <w:rPr>
          <w:rFonts w:ascii="Times New Roman" w:hAnsi="Times New Roman" w:eastAsia="仿宋_GB2312" w:cs="Times New Roman"/>
          <w:spacing w:val="-3"/>
          <w:kern w:val="0"/>
          <w:szCs w:val="28"/>
          <w:lang w:val="zh-CN" w:bidi="zh-CN"/>
        </w:rPr>
        <w:t>表日</w:t>
      </w:r>
      <w:r>
        <w:rPr>
          <w:rFonts w:ascii="Times New Roman" w:hAnsi="Times New Roman" w:eastAsia="仿宋_GB2312" w:cs="Times New Roman"/>
          <w:kern w:val="0"/>
          <w:szCs w:val="28"/>
          <w:lang w:val="zh-CN" w:bidi="zh-CN"/>
        </w:rPr>
        <w:t>期</w:t>
      </w:r>
      <w:r>
        <w:rPr>
          <w:rFonts w:hint="eastAsia" w:ascii="Times New Roman" w:hAnsi="Times New Roman" w:eastAsia="仿宋_GB2312" w:cs="Times New Roman"/>
          <w:kern w:val="0"/>
          <w:szCs w:val="28"/>
          <w:lang w:bidi="zh-CN"/>
        </w:rPr>
        <w:t>：</w:t>
      </w:r>
      <w:r>
        <w:rPr>
          <w:rFonts w:ascii="Times New Roman" w:hAnsi="Times New Roman" w:eastAsia="仿宋_GB2312" w:cs="Times New Roman"/>
          <w:kern w:val="0"/>
          <w:szCs w:val="28"/>
          <w:lang w:bidi="zh-CN"/>
        </w:rPr>
        <w:t>XX</w:t>
      </w:r>
      <w:r>
        <w:rPr>
          <w:rFonts w:ascii="Times New Roman" w:hAnsi="Times New Roman" w:eastAsia="仿宋_GB2312" w:cs="Times New Roman"/>
          <w:kern w:val="0"/>
          <w:szCs w:val="28"/>
          <w:lang w:val="zh-CN" w:bidi="zh-CN"/>
        </w:rPr>
        <w:t>年</w:t>
      </w:r>
      <w:r>
        <w:rPr>
          <w:rFonts w:ascii="Times New Roman" w:hAnsi="Times New Roman" w:eastAsia="仿宋_GB2312" w:cs="Times New Roman"/>
          <w:kern w:val="0"/>
          <w:szCs w:val="28"/>
          <w:lang w:bidi="zh-CN"/>
        </w:rPr>
        <w:t>XX</w:t>
      </w:r>
      <w:r>
        <w:rPr>
          <w:rFonts w:ascii="Times New Roman" w:hAnsi="Times New Roman" w:eastAsia="仿宋_GB2312" w:cs="Times New Roman"/>
          <w:kern w:val="0"/>
          <w:szCs w:val="28"/>
          <w:lang w:val="zh-CN" w:bidi="zh-CN"/>
        </w:rPr>
        <w:t>月</w:t>
      </w:r>
    </w:p>
    <w:p>
      <w:pPr>
        <w:widowControl w:val="0"/>
        <w:autoSpaceDE w:val="0"/>
        <w:autoSpaceDN w:val="0"/>
        <w:adjustRightInd w:val="0"/>
        <w:spacing w:line="240" w:lineRule="auto"/>
        <w:ind w:firstLine="0" w:firstLineChars="0"/>
        <w:jc w:val="both"/>
        <w:outlineLvl w:val="1"/>
        <w:rPr>
          <w:rFonts w:ascii="仿宋_GB2312" w:hAnsi="仿宋_GB2312" w:eastAsia="仿宋_GB2312" w:cs="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56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8"/>
                      <w:ind w:firstLine="56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5CD35"/>
    <w:multiLevelType w:val="singleLevel"/>
    <w:tmpl w:val="9DA5CD35"/>
    <w:lvl w:ilvl="0" w:tentative="0">
      <w:start w:val="3"/>
      <w:numFmt w:val="chineseCounting"/>
      <w:suff w:val="space"/>
      <w:lvlText w:val="第%1章"/>
      <w:lvlJc w:val="left"/>
      <w:rPr>
        <w:rFonts w:hint="eastAsia"/>
        <w:lang w:val="en-US"/>
      </w:rPr>
    </w:lvl>
  </w:abstractNum>
  <w:abstractNum w:abstractNumId="1">
    <w:nsid w:val="4304484B"/>
    <w:multiLevelType w:val="singleLevel"/>
    <w:tmpl w:val="4304484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Y2YzYTBkZDdmYThlMDhjODhlNDlkZWFjMGUxNDEifQ=="/>
  </w:docVars>
  <w:rsids>
    <w:rsidRoot w:val="00172A27"/>
    <w:rsid w:val="00024EA4"/>
    <w:rsid w:val="00030EFB"/>
    <w:rsid w:val="0003402A"/>
    <w:rsid w:val="00034A7A"/>
    <w:rsid w:val="0004091D"/>
    <w:rsid w:val="0005321F"/>
    <w:rsid w:val="00064A69"/>
    <w:rsid w:val="0007007C"/>
    <w:rsid w:val="000934F6"/>
    <w:rsid w:val="000A1F7F"/>
    <w:rsid w:val="000A3A8F"/>
    <w:rsid w:val="000B1F97"/>
    <w:rsid w:val="000B3290"/>
    <w:rsid w:val="000C625C"/>
    <w:rsid w:val="000D1621"/>
    <w:rsid w:val="000D40C2"/>
    <w:rsid w:val="000D679E"/>
    <w:rsid w:val="000D6882"/>
    <w:rsid w:val="000F70B8"/>
    <w:rsid w:val="00100039"/>
    <w:rsid w:val="0011593C"/>
    <w:rsid w:val="001352C5"/>
    <w:rsid w:val="00142A34"/>
    <w:rsid w:val="00146D5A"/>
    <w:rsid w:val="00150030"/>
    <w:rsid w:val="00172A27"/>
    <w:rsid w:val="00193A0B"/>
    <w:rsid w:val="001B5D8A"/>
    <w:rsid w:val="001B758C"/>
    <w:rsid w:val="001C7C6D"/>
    <w:rsid w:val="001C7F94"/>
    <w:rsid w:val="001F3A2D"/>
    <w:rsid w:val="001F495D"/>
    <w:rsid w:val="001F591B"/>
    <w:rsid w:val="00207752"/>
    <w:rsid w:val="00207851"/>
    <w:rsid w:val="00210951"/>
    <w:rsid w:val="00212361"/>
    <w:rsid w:val="002141B2"/>
    <w:rsid w:val="002166BC"/>
    <w:rsid w:val="00227344"/>
    <w:rsid w:val="00227E95"/>
    <w:rsid w:val="00232C3C"/>
    <w:rsid w:val="002408DC"/>
    <w:rsid w:val="0024387F"/>
    <w:rsid w:val="002469D1"/>
    <w:rsid w:val="00284A75"/>
    <w:rsid w:val="002B017B"/>
    <w:rsid w:val="002C1FD1"/>
    <w:rsid w:val="002D0887"/>
    <w:rsid w:val="002D7E91"/>
    <w:rsid w:val="002E203D"/>
    <w:rsid w:val="0030305F"/>
    <w:rsid w:val="00314F61"/>
    <w:rsid w:val="00324402"/>
    <w:rsid w:val="003250F1"/>
    <w:rsid w:val="00330F51"/>
    <w:rsid w:val="00335099"/>
    <w:rsid w:val="00341E90"/>
    <w:rsid w:val="0035726B"/>
    <w:rsid w:val="00357522"/>
    <w:rsid w:val="00363692"/>
    <w:rsid w:val="003A17E2"/>
    <w:rsid w:val="003B3801"/>
    <w:rsid w:val="003B6E7D"/>
    <w:rsid w:val="003B718E"/>
    <w:rsid w:val="003C239F"/>
    <w:rsid w:val="003C56BA"/>
    <w:rsid w:val="003D0E7D"/>
    <w:rsid w:val="00405457"/>
    <w:rsid w:val="00410BC9"/>
    <w:rsid w:val="004121B5"/>
    <w:rsid w:val="00426394"/>
    <w:rsid w:val="00426887"/>
    <w:rsid w:val="00442553"/>
    <w:rsid w:val="004644EC"/>
    <w:rsid w:val="004766F1"/>
    <w:rsid w:val="004901BB"/>
    <w:rsid w:val="004A0759"/>
    <w:rsid w:val="004A186C"/>
    <w:rsid w:val="004A2C8A"/>
    <w:rsid w:val="004A5EC2"/>
    <w:rsid w:val="004D11A4"/>
    <w:rsid w:val="004D2BF3"/>
    <w:rsid w:val="004D592F"/>
    <w:rsid w:val="004F5107"/>
    <w:rsid w:val="005039D6"/>
    <w:rsid w:val="00505B19"/>
    <w:rsid w:val="00517617"/>
    <w:rsid w:val="00517F40"/>
    <w:rsid w:val="00537B07"/>
    <w:rsid w:val="00545265"/>
    <w:rsid w:val="00550C09"/>
    <w:rsid w:val="005533C6"/>
    <w:rsid w:val="005677B0"/>
    <w:rsid w:val="0057428D"/>
    <w:rsid w:val="005806B8"/>
    <w:rsid w:val="00590092"/>
    <w:rsid w:val="00590B97"/>
    <w:rsid w:val="00592E28"/>
    <w:rsid w:val="005B2BF1"/>
    <w:rsid w:val="005B59E4"/>
    <w:rsid w:val="005C09CC"/>
    <w:rsid w:val="005D550E"/>
    <w:rsid w:val="005D660B"/>
    <w:rsid w:val="005E07F7"/>
    <w:rsid w:val="005E09B5"/>
    <w:rsid w:val="005E4892"/>
    <w:rsid w:val="005F3501"/>
    <w:rsid w:val="005F6FB5"/>
    <w:rsid w:val="00616F9B"/>
    <w:rsid w:val="00630B67"/>
    <w:rsid w:val="006312B2"/>
    <w:rsid w:val="00631934"/>
    <w:rsid w:val="006501EA"/>
    <w:rsid w:val="006557CF"/>
    <w:rsid w:val="006722D9"/>
    <w:rsid w:val="0067254D"/>
    <w:rsid w:val="006758D1"/>
    <w:rsid w:val="006832E9"/>
    <w:rsid w:val="00683364"/>
    <w:rsid w:val="006839B9"/>
    <w:rsid w:val="00690E67"/>
    <w:rsid w:val="00696991"/>
    <w:rsid w:val="00697BFF"/>
    <w:rsid w:val="006A070D"/>
    <w:rsid w:val="006B6A09"/>
    <w:rsid w:val="006C0B43"/>
    <w:rsid w:val="006E0EA3"/>
    <w:rsid w:val="006E2BF9"/>
    <w:rsid w:val="006E50E0"/>
    <w:rsid w:val="006E6796"/>
    <w:rsid w:val="006F05D3"/>
    <w:rsid w:val="006F54A4"/>
    <w:rsid w:val="007068A5"/>
    <w:rsid w:val="00725704"/>
    <w:rsid w:val="007329B6"/>
    <w:rsid w:val="00745382"/>
    <w:rsid w:val="00747366"/>
    <w:rsid w:val="00753CFF"/>
    <w:rsid w:val="00787EB9"/>
    <w:rsid w:val="007A03CD"/>
    <w:rsid w:val="007B26B4"/>
    <w:rsid w:val="007B6F60"/>
    <w:rsid w:val="007B783E"/>
    <w:rsid w:val="007C752E"/>
    <w:rsid w:val="007D3977"/>
    <w:rsid w:val="007D3B13"/>
    <w:rsid w:val="007D6496"/>
    <w:rsid w:val="007E761E"/>
    <w:rsid w:val="007F43A2"/>
    <w:rsid w:val="008024CC"/>
    <w:rsid w:val="0081151C"/>
    <w:rsid w:val="00814C3C"/>
    <w:rsid w:val="0082409C"/>
    <w:rsid w:val="0084361C"/>
    <w:rsid w:val="0085307C"/>
    <w:rsid w:val="00866160"/>
    <w:rsid w:val="00876211"/>
    <w:rsid w:val="008849DB"/>
    <w:rsid w:val="00890F7B"/>
    <w:rsid w:val="0089678D"/>
    <w:rsid w:val="008A37C4"/>
    <w:rsid w:val="008C0F54"/>
    <w:rsid w:val="008C3B40"/>
    <w:rsid w:val="008D444D"/>
    <w:rsid w:val="008D7729"/>
    <w:rsid w:val="008D7A3C"/>
    <w:rsid w:val="008E2A3D"/>
    <w:rsid w:val="008E4A84"/>
    <w:rsid w:val="008F08F6"/>
    <w:rsid w:val="008F72B9"/>
    <w:rsid w:val="009271E8"/>
    <w:rsid w:val="00933320"/>
    <w:rsid w:val="00961817"/>
    <w:rsid w:val="009909C8"/>
    <w:rsid w:val="009A4837"/>
    <w:rsid w:val="009C1E8D"/>
    <w:rsid w:val="009D1550"/>
    <w:rsid w:val="009D4C41"/>
    <w:rsid w:val="00A04903"/>
    <w:rsid w:val="00A04E82"/>
    <w:rsid w:val="00A05201"/>
    <w:rsid w:val="00A07538"/>
    <w:rsid w:val="00A25A18"/>
    <w:rsid w:val="00A37F4B"/>
    <w:rsid w:val="00A4185E"/>
    <w:rsid w:val="00A469B8"/>
    <w:rsid w:val="00A5004F"/>
    <w:rsid w:val="00A529F2"/>
    <w:rsid w:val="00A55735"/>
    <w:rsid w:val="00A573BC"/>
    <w:rsid w:val="00A73CD4"/>
    <w:rsid w:val="00A9492C"/>
    <w:rsid w:val="00A97678"/>
    <w:rsid w:val="00AA35C4"/>
    <w:rsid w:val="00AC662F"/>
    <w:rsid w:val="00AD315D"/>
    <w:rsid w:val="00AD6DF0"/>
    <w:rsid w:val="00AF3940"/>
    <w:rsid w:val="00B00CCC"/>
    <w:rsid w:val="00B071CD"/>
    <w:rsid w:val="00B1759C"/>
    <w:rsid w:val="00B2528E"/>
    <w:rsid w:val="00B35AFE"/>
    <w:rsid w:val="00B36955"/>
    <w:rsid w:val="00B36F59"/>
    <w:rsid w:val="00B43DBB"/>
    <w:rsid w:val="00B44F4D"/>
    <w:rsid w:val="00B456C5"/>
    <w:rsid w:val="00B75778"/>
    <w:rsid w:val="00B9214A"/>
    <w:rsid w:val="00BA3D1E"/>
    <w:rsid w:val="00BA4C2F"/>
    <w:rsid w:val="00BB7207"/>
    <w:rsid w:val="00BC6B95"/>
    <w:rsid w:val="00BC77B0"/>
    <w:rsid w:val="00BD1F87"/>
    <w:rsid w:val="00BD45B0"/>
    <w:rsid w:val="00BE7797"/>
    <w:rsid w:val="00C026C9"/>
    <w:rsid w:val="00C23A8F"/>
    <w:rsid w:val="00C273AF"/>
    <w:rsid w:val="00C45769"/>
    <w:rsid w:val="00C47DCD"/>
    <w:rsid w:val="00C57374"/>
    <w:rsid w:val="00C60600"/>
    <w:rsid w:val="00C61B82"/>
    <w:rsid w:val="00C67F44"/>
    <w:rsid w:val="00C7340A"/>
    <w:rsid w:val="00C8192A"/>
    <w:rsid w:val="00C82A84"/>
    <w:rsid w:val="00C86F4A"/>
    <w:rsid w:val="00C92EFB"/>
    <w:rsid w:val="00CC1E2A"/>
    <w:rsid w:val="00CC44A2"/>
    <w:rsid w:val="00CC78CE"/>
    <w:rsid w:val="00CE7E9F"/>
    <w:rsid w:val="00CF2433"/>
    <w:rsid w:val="00D056B9"/>
    <w:rsid w:val="00D05F67"/>
    <w:rsid w:val="00D10CF9"/>
    <w:rsid w:val="00D14F9A"/>
    <w:rsid w:val="00D168B7"/>
    <w:rsid w:val="00D37CCE"/>
    <w:rsid w:val="00D5073A"/>
    <w:rsid w:val="00D5617C"/>
    <w:rsid w:val="00D605B0"/>
    <w:rsid w:val="00D75CB4"/>
    <w:rsid w:val="00D77BB6"/>
    <w:rsid w:val="00D962FF"/>
    <w:rsid w:val="00DA0298"/>
    <w:rsid w:val="00DA1074"/>
    <w:rsid w:val="00DA6069"/>
    <w:rsid w:val="00DB34B8"/>
    <w:rsid w:val="00DB6596"/>
    <w:rsid w:val="00DC2E7C"/>
    <w:rsid w:val="00DC3F99"/>
    <w:rsid w:val="00DE10F6"/>
    <w:rsid w:val="00DE376B"/>
    <w:rsid w:val="00DE3BF3"/>
    <w:rsid w:val="00DF6ACB"/>
    <w:rsid w:val="00E05B56"/>
    <w:rsid w:val="00E26CF3"/>
    <w:rsid w:val="00E335B4"/>
    <w:rsid w:val="00E41AC2"/>
    <w:rsid w:val="00E42E2F"/>
    <w:rsid w:val="00E4401A"/>
    <w:rsid w:val="00E469C2"/>
    <w:rsid w:val="00E5098F"/>
    <w:rsid w:val="00E7122E"/>
    <w:rsid w:val="00E76256"/>
    <w:rsid w:val="00E81173"/>
    <w:rsid w:val="00E832BC"/>
    <w:rsid w:val="00E9543A"/>
    <w:rsid w:val="00EB235E"/>
    <w:rsid w:val="00EE4EC5"/>
    <w:rsid w:val="00F108DC"/>
    <w:rsid w:val="00F1155A"/>
    <w:rsid w:val="00F168CF"/>
    <w:rsid w:val="00F22B91"/>
    <w:rsid w:val="00F34676"/>
    <w:rsid w:val="00F403FA"/>
    <w:rsid w:val="00F527AB"/>
    <w:rsid w:val="00F53053"/>
    <w:rsid w:val="00F55F28"/>
    <w:rsid w:val="00F7012C"/>
    <w:rsid w:val="00F74A49"/>
    <w:rsid w:val="00F76971"/>
    <w:rsid w:val="00F97408"/>
    <w:rsid w:val="00FB24C6"/>
    <w:rsid w:val="00FC0619"/>
    <w:rsid w:val="00FC1790"/>
    <w:rsid w:val="00FD158E"/>
    <w:rsid w:val="00FE0C9B"/>
    <w:rsid w:val="02104022"/>
    <w:rsid w:val="02D768EE"/>
    <w:rsid w:val="05611FC2"/>
    <w:rsid w:val="06135E8F"/>
    <w:rsid w:val="063A78C0"/>
    <w:rsid w:val="0BE4053F"/>
    <w:rsid w:val="0E876B6C"/>
    <w:rsid w:val="0EFC1C7C"/>
    <w:rsid w:val="0FAC808B"/>
    <w:rsid w:val="0FFF79CF"/>
    <w:rsid w:val="156838CD"/>
    <w:rsid w:val="15DE404E"/>
    <w:rsid w:val="190D71E9"/>
    <w:rsid w:val="1DB13FA7"/>
    <w:rsid w:val="1E2FB501"/>
    <w:rsid w:val="1FDF009C"/>
    <w:rsid w:val="21745C82"/>
    <w:rsid w:val="22A939AB"/>
    <w:rsid w:val="23F606AB"/>
    <w:rsid w:val="2BFB4DDA"/>
    <w:rsid w:val="32AA2E28"/>
    <w:rsid w:val="399F745E"/>
    <w:rsid w:val="3B084B8F"/>
    <w:rsid w:val="3D5C260B"/>
    <w:rsid w:val="3FB660BD"/>
    <w:rsid w:val="3FDB7EAE"/>
    <w:rsid w:val="431762B8"/>
    <w:rsid w:val="43454BD3"/>
    <w:rsid w:val="47EB0361"/>
    <w:rsid w:val="4B7670FE"/>
    <w:rsid w:val="4EC45545"/>
    <w:rsid w:val="4F5C867A"/>
    <w:rsid w:val="4FC71F15"/>
    <w:rsid w:val="5124051D"/>
    <w:rsid w:val="52AA6914"/>
    <w:rsid w:val="5325057D"/>
    <w:rsid w:val="5439197C"/>
    <w:rsid w:val="5735FE90"/>
    <w:rsid w:val="57FF3E0A"/>
    <w:rsid w:val="57FFE1E3"/>
    <w:rsid w:val="59D40726"/>
    <w:rsid w:val="59EA12A0"/>
    <w:rsid w:val="5A7140A7"/>
    <w:rsid w:val="5BFE48DF"/>
    <w:rsid w:val="5EAD444C"/>
    <w:rsid w:val="60DF0DF4"/>
    <w:rsid w:val="63A26CA4"/>
    <w:rsid w:val="63F3A6D5"/>
    <w:rsid w:val="65077AE2"/>
    <w:rsid w:val="69FF2BAD"/>
    <w:rsid w:val="6BB0FCBD"/>
    <w:rsid w:val="6D32066F"/>
    <w:rsid w:val="6E946607"/>
    <w:rsid w:val="6FDE3695"/>
    <w:rsid w:val="6FDFA35E"/>
    <w:rsid w:val="709C6087"/>
    <w:rsid w:val="732B52E4"/>
    <w:rsid w:val="758DA85C"/>
    <w:rsid w:val="767B2267"/>
    <w:rsid w:val="7777A53A"/>
    <w:rsid w:val="77962542"/>
    <w:rsid w:val="77F9A12D"/>
    <w:rsid w:val="78AE679B"/>
    <w:rsid w:val="78C11F87"/>
    <w:rsid w:val="79BA2F1D"/>
    <w:rsid w:val="7ADF480F"/>
    <w:rsid w:val="7AFD3713"/>
    <w:rsid w:val="7DB34CF8"/>
    <w:rsid w:val="7EF7FE48"/>
    <w:rsid w:val="7F694A45"/>
    <w:rsid w:val="7F7F9456"/>
    <w:rsid w:val="7FBC9060"/>
    <w:rsid w:val="7FFF20E7"/>
    <w:rsid w:val="84DF9A14"/>
    <w:rsid w:val="8FF39CCD"/>
    <w:rsid w:val="9EDE80A9"/>
    <w:rsid w:val="9EEF2993"/>
    <w:rsid w:val="ADCFAC31"/>
    <w:rsid w:val="B3CD4B01"/>
    <w:rsid w:val="B3F7403A"/>
    <w:rsid w:val="B7DB2117"/>
    <w:rsid w:val="B8FE81FB"/>
    <w:rsid w:val="BEFF4951"/>
    <w:rsid w:val="BF71F572"/>
    <w:rsid w:val="BF988AEB"/>
    <w:rsid w:val="BFEBBD4B"/>
    <w:rsid w:val="C8CA03CC"/>
    <w:rsid w:val="CFD728E9"/>
    <w:rsid w:val="CFEE1F2B"/>
    <w:rsid w:val="CFFF7321"/>
    <w:rsid w:val="DC77BCA7"/>
    <w:rsid w:val="DDBB8D75"/>
    <w:rsid w:val="DE53A733"/>
    <w:rsid w:val="E2FF9B33"/>
    <w:rsid w:val="E615AAE9"/>
    <w:rsid w:val="E7DFD40E"/>
    <w:rsid w:val="EB1E4AA9"/>
    <w:rsid w:val="EF3F663B"/>
    <w:rsid w:val="EF5E3BBD"/>
    <w:rsid w:val="EFF474AC"/>
    <w:rsid w:val="FB6FF180"/>
    <w:rsid w:val="FB732394"/>
    <w:rsid w:val="FBFD238B"/>
    <w:rsid w:val="FBFFAC9C"/>
    <w:rsid w:val="FED3E22C"/>
    <w:rsid w:val="FF7F92DF"/>
    <w:rsid w:val="FFBF5BC2"/>
    <w:rsid w:val="FFBFB9F7"/>
    <w:rsid w:val="FFC7F295"/>
    <w:rsid w:val="FFDF36BE"/>
    <w:rsid w:val="FFE65FAE"/>
    <w:rsid w:val="FFFE97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720" w:firstLineChars="200"/>
    </w:pPr>
    <w:rPr>
      <w:rFonts w:eastAsia="仿宋" w:asciiTheme="minorHAnsi" w:hAnsiTheme="minorHAnsi" w:cstheme="minorBidi"/>
      <w:kern w:val="2"/>
      <w:sz w:val="28"/>
      <w:szCs w:val="22"/>
      <w:lang w:val="en-US" w:eastAsia="zh-CN" w:bidi="ar-SA"/>
    </w:rPr>
  </w:style>
  <w:style w:type="paragraph" w:styleId="3">
    <w:name w:val="heading 1"/>
    <w:basedOn w:val="1"/>
    <w:next w:val="1"/>
    <w:qFormat/>
    <w:uiPriority w:val="0"/>
    <w:pPr>
      <w:keepNext/>
      <w:keepLines/>
      <w:ind w:firstLine="0" w:firstLineChars="0"/>
      <w:outlineLvl w:val="0"/>
    </w:pPr>
    <w:rPr>
      <w:rFonts w:eastAsia="黑体"/>
      <w:b/>
      <w:kern w:val="44"/>
    </w:rPr>
  </w:style>
  <w:style w:type="paragraph" w:styleId="4">
    <w:name w:val="heading 2"/>
    <w:basedOn w:val="1"/>
    <w:next w:val="1"/>
    <w:qFormat/>
    <w:uiPriority w:val="1"/>
    <w:pPr>
      <w:ind w:left="1776"/>
      <w:outlineLvl w:val="1"/>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 文"/>
    <w:qFormat/>
    <w:uiPriority w:val="0"/>
    <w:pPr>
      <w:ind w:firstLine="200"/>
    </w:pPr>
    <w:rPr>
      <w:rFonts w:ascii="宋体" w:hAnsi="宋体" w:eastAsia="宋体" w:cs="Times New Roman"/>
      <w:lang w:val="en-US" w:eastAsia="zh-CN" w:bidi="ar-SA"/>
    </w:rPr>
  </w:style>
  <w:style w:type="paragraph" w:styleId="5">
    <w:name w:val="annotation text"/>
    <w:basedOn w:val="1"/>
    <w:link w:val="28"/>
    <w:qFormat/>
    <w:uiPriority w:val="0"/>
  </w:style>
  <w:style w:type="paragraph" w:styleId="6">
    <w:name w:val="Body Text"/>
    <w:basedOn w:val="1"/>
    <w:link w:val="20"/>
    <w:qFormat/>
    <w:uiPriority w:val="1"/>
    <w:rPr>
      <w:sz w:val="21"/>
      <w:szCs w:val="21"/>
    </w:r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kern w:val="0"/>
      <w:sz w:val="24"/>
      <w:szCs w:val="24"/>
    </w:rPr>
  </w:style>
  <w:style w:type="paragraph" w:styleId="11">
    <w:name w:val="Normal (Web)"/>
    <w:basedOn w:val="1"/>
    <w:qFormat/>
    <w:uiPriority w:val="0"/>
    <w:pPr>
      <w:spacing w:beforeAutospacing="1" w:afterAutospacing="1"/>
    </w:pPr>
    <w:rPr>
      <w:rFonts w:cs="Times New Roman"/>
      <w:kern w:val="0"/>
      <w:sz w:val="24"/>
    </w:rPr>
  </w:style>
  <w:style w:type="paragraph" w:styleId="12">
    <w:name w:val="annotation subject"/>
    <w:basedOn w:val="5"/>
    <w:next w:val="5"/>
    <w:link w:val="29"/>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6">
    <w:name w:val="annotation reference"/>
    <w:basedOn w:val="15"/>
    <w:qFormat/>
    <w:uiPriority w:val="0"/>
    <w:rPr>
      <w:sz w:val="21"/>
      <w:szCs w:val="21"/>
    </w:rPr>
  </w:style>
  <w:style w:type="paragraph" w:customStyle="1" w:styleId="17">
    <w:name w:val="Default"/>
    <w:qFormat/>
    <w:uiPriority w:val="0"/>
    <w:pPr>
      <w:widowControl w:val="0"/>
      <w:autoSpaceDE w:val="0"/>
      <w:autoSpaceDN w:val="0"/>
      <w:adjustRightInd w:val="0"/>
    </w:pPr>
    <w:rPr>
      <w:rFonts w:ascii="仿宋_GB2312" w:hAnsi="Calibri" w:eastAsia="宋体" w:cs="仿宋_GB2312"/>
      <w:color w:val="000000"/>
      <w:sz w:val="24"/>
      <w:szCs w:val="24"/>
      <w:lang w:val="en-US" w:eastAsia="zh-CN" w:bidi="ar-SA"/>
    </w:rPr>
  </w:style>
  <w:style w:type="paragraph" w:customStyle="1" w:styleId="18">
    <w:name w:val="Table Paragraph"/>
    <w:basedOn w:val="1"/>
    <w:qFormat/>
    <w:uiPriority w:val="1"/>
  </w:style>
  <w:style w:type="table" w:customStyle="1" w:styleId="19">
    <w:name w:val="Table Normal"/>
    <w:semiHidden/>
    <w:unhideWhenUsed/>
    <w:qFormat/>
    <w:uiPriority w:val="2"/>
    <w:tblPr>
      <w:tblCellMar>
        <w:top w:w="0" w:type="dxa"/>
        <w:left w:w="0" w:type="dxa"/>
        <w:bottom w:w="0" w:type="dxa"/>
        <w:right w:w="0" w:type="dxa"/>
      </w:tblCellMar>
    </w:tblPr>
  </w:style>
  <w:style w:type="character" w:customStyle="1" w:styleId="20">
    <w:name w:val="正文文本 字符"/>
    <w:link w:val="6"/>
    <w:qFormat/>
    <w:uiPriority w:val="1"/>
    <w:rPr>
      <w:sz w:val="21"/>
      <w:szCs w:val="21"/>
    </w:rPr>
  </w:style>
  <w:style w:type="paragraph" w:customStyle="1" w:styleId="21">
    <w:name w:val="修订1"/>
    <w:hidden/>
    <w:unhideWhenUsed/>
    <w:qFormat/>
    <w:uiPriority w:val="99"/>
    <w:rPr>
      <w:rFonts w:eastAsia="仿宋" w:asciiTheme="minorHAnsi" w:hAnsiTheme="minorHAnsi" w:cstheme="minorBidi"/>
      <w:kern w:val="2"/>
      <w:sz w:val="28"/>
      <w:szCs w:val="22"/>
      <w:lang w:val="en-US" w:eastAsia="zh-CN" w:bidi="ar-SA"/>
    </w:rPr>
  </w:style>
  <w:style w:type="paragraph" w:customStyle="1" w:styleId="22">
    <w:name w:val="修订2"/>
    <w:hidden/>
    <w:unhideWhenUsed/>
    <w:qFormat/>
    <w:uiPriority w:val="99"/>
    <w:rPr>
      <w:rFonts w:eastAsia="仿宋" w:asciiTheme="minorHAnsi" w:hAnsiTheme="minorHAnsi" w:cstheme="minorBidi"/>
      <w:kern w:val="2"/>
      <w:sz w:val="28"/>
      <w:szCs w:val="22"/>
      <w:lang w:val="en-US" w:eastAsia="zh-CN" w:bidi="ar-SA"/>
    </w:rPr>
  </w:style>
  <w:style w:type="paragraph" w:styleId="23">
    <w:name w:val="List Paragraph"/>
    <w:basedOn w:val="1"/>
    <w:unhideWhenUsed/>
    <w:qFormat/>
    <w:uiPriority w:val="99"/>
    <w:pPr>
      <w:ind w:firstLine="420"/>
    </w:pPr>
  </w:style>
  <w:style w:type="paragraph" w:customStyle="1" w:styleId="24">
    <w:name w:val="修订3"/>
    <w:hidden/>
    <w:unhideWhenUsed/>
    <w:qFormat/>
    <w:uiPriority w:val="99"/>
    <w:rPr>
      <w:rFonts w:eastAsia="仿宋" w:asciiTheme="minorHAnsi" w:hAnsiTheme="minorHAnsi" w:cstheme="minorBidi"/>
      <w:kern w:val="2"/>
      <w:sz w:val="28"/>
      <w:szCs w:val="22"/>
      <w:lang w:val="en-US" w:eastAsia="zh-CN" w:bidi="ar-SA"/>
    </w:rPr>
  </w:style>
  <w:style w:type="paragraph" w:customStyle="1" w:styleId="25">
    <w:name w:val="修订4"/>
    <w:hidden/>
    <w:unhideWhenUsed/>
    <w:qFormat/>
    <w:uiPriority w:val="99"/>
    <w:rPr>
      <w:rFonts w:eastAsia="仿宋" w:asciiTheme="minorHAnsi" w:hAnsiTheme="minorHAnsi" w:cstheme="minorBidi"/>
      <w:kern w:val="2"/>
      <w:sz w:val="28"/>
      <w:szCs w:val="22"/>
      <w:lang w:val="en-US" w:eastAsia="zh-CN" w:bidi="ar-SA"/>
    </w:rPr>
  </w:style>
  <w:style w:type="paragraph" w:customStyle="1" w:styleId="26">
    <w:name w:val="修订5"/>
    <w:hidden/>
    <w:unhideWhenUsed/>
    <w:qFormat/>
    <w:uiPriority w:val="99"/>
    <w:rPr>
      <w:rFonts w:eastAsia="仿宋" w:asciiTheme="minorHAnsi" w:hAnsiTheme="minorHAnsi" w:cstheme="minorBidi"/>
      <w:kern w:val="2"/>
      <w:sz w:val="28"/>
      <w:szCs w:val="22"/>
      <w:lang w:val="en-US" w:eastAsia="zh-CN" w:bidi="ar-SA"/>
    </w:rPr>
  </w:style>
  <w:style w:type="table" w:customStyle="1" w:styleId="27">
    <w:name w:val="网格型1"/>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批注文字 字符"/>
    <w:basedOn w:val="15"/>
    <w:link w:val="5"/>
    <w:qFormat/>
    <w:uiPriority w:val="0"/>
    <w:rPr>
      <w:rFonts w:eastAsia="仿宋" w:asciiTheme="minorHAnsi" w:hAnsiTheme="minorHAnsi" w:cstheme="minorBidi"/>
      <w:kern w:val="2"/>
      <w:sz w:val="28"/>
      <w:szCs w:val="22"/>
    </w:rPr>
  </w:style>
  <w:style w:type="character" w:customStyle="1" w:styleId="29">
    <w:name w:val="批注主题 字符"/>
    <w:basedOn w:val="28"/>
    <w:link w:val="12"/>
    <w:qFormat/>
    <w:uiPriority w:val="0"/>
    <w:rPr>
      <w:rFonts w:eastAsia="仿宋" w:asciiTheme="minorHAnsi" w:hAnsiTheme="minorHAnsi" w:cstheme="minorBidi"/>
      <w:b/>
      <w:bCs/>
      <w:kern w:val="2"/>
      <w:sz w:val="28"/>
      <w:szCs w:val="22"/>
    </w:rPr>
  </w:style>
  <w:style w:type="paragraph" w:customStyle="1" w:styleId="30">
    <w:name w:val="修订6"/>
    <w:hidden/>
    <w:unhideWhenUsed/>
    <w:qFormat/>
    <w:uiPriority w:val="99"/>
    <w:rPr>
      <w:rFonts w:eastAsia="仿宋" w:asciiTheme="minorHAnsi" w:hAnsiTheme="minorHAnsi" w:cstheme="minorBidi"/>
      <w:kern w:val="2"/>
      <w:sz w:val="28"/>
      <w:szCs w:val="22"/>
      <w:lang w:val="en-US" w:eastAsia="zh-CN" w:bidi="ar-SA"/>
    </w:rPr>
  </w:style>
  <w:style w:type="paragraph" w:customStyle="1" w:styleId="31">
    <w:name w:val="修订7"/>
    <w:hidden/>
    <w:unhideWhenUsed/>
    <w:qFormat/>
    <w:uiPriority w:val="99"/>
    <w:rPr>
      <w:rFonts w:eastAsia="仿宋" w:asciiTheme="minorHAnsi" w:hAnsiTheme="minorHAnsi" w:cstheme="minorBidi"/>
      <w:kern w:val="2"/>
      <w:sz w:val="28"/>
      <w:szCs w:val="22"/>
      <w:lang w:val="en-US" w:eastAsia="zh-CN" w:bidi="ar-SA"/>
    </w:rPr>
  </w:style>
  <w:style w:type="paragraph" w:customStyle="1" w:styleId="32">
    <w:name w:val="修订8"/>
    <w:hidden/>
    <w:unhideWhenUsed/>
    <w:qFormat/>
    <w:uiPriority w:val="99"/>
    <w:rPr>
      <w:rFonts w:eastAsia="仿宋" w:asciiTheme="minorHAnsi" w:hAnsiTheme="minorHAnsi" w:cstheme="minorBidi"/>
      <w:kern w:val="2"/>
      <w:sz w:val="28"/>
      <w:szCs w:val="22"/>
      <w:lang w:val="en-US" w:eastAsia="zh-CN" w:bidi="ar-SA"/>
    </w:rPr>
  </w:style>
  <w:style w:type="paragraph" w:customStyle="1" w:styleId="33">
    <w:name w:val="修订9"/>
    <w:hidden/>
    <w:unhideWhenUsed/>
    <w:qFormat/>
    <w:uiPriority w:val="99"/>
    <w:rPr>
      <w:rFonts w:eastAsia="仿宋" w:asciiTheme="minorHAnsi" w:hAnsiTheme="minorHAnsi"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4791</Words>
  <Characters>380</Characters>
  <Lines>3</Lines>
  <Paragraphs>10</Paragraphs>
  <TotalTime>17</TotalTime>
  <ScaleCrop>false</ScaleCrop>
  <LinksUpToDate>false</LinksUpToDate>
  <CharactersWithSpaces>5161</CharactersWithSpaces>
  <Application>WPS Office_11.8.2.9980_F1E327BC-269C-435d-A152-05C5408002CA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2024-01-29T16:48:00Z</dcterms:created>
  <dc:creator>Angela-lee</dc:creator>
  <cp:lastModifiedBy>test</cp:lastModifiedBy>
  <cp:lastPrinted>2024-01-26T08:03:00Z</cp:lastPrinted>
  <dcterms:modified xsi:type="dcterms:W3CDTF">2024-01-30T16:44:01Z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3F8A80F89D2644AA8C4A240E1D4E7223_13</vt:lpwstr>
  </property>
</Properties>
</file>