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7" w:type="dxa"/>
        <w:tblInd w:w="9" w:type="dxa"/>
        <w:tblLayout w:type="fixed"/>
        <w:tblLook w:val="04A0"/>
      </w:tblPr>
      <w:tblGrid>
        <w:gridCol w:w="1766"/>
        <w:gridCol w:w="3194"/>
        <w:gridCol w:w="1479"/>
        <w:gridCol w:w="3098"/>
        <w:gridCol w:w="2837"/>
        <w:gridCol w:w="1703"/>
      </w:tblGrid>
      <w:tr w:rsidR="000359D7" w:rsidTr="000359D7">
        <w:trPr>
          <w:trHeight w:val="540"/>
        </w:trPr>
        <w:tc>
          <w:tcPr>
            <w:tcW w:w="4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9D7" w:rsidRDefault="000359D7" w:rsidP="000359D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附件4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</w:tr>
      <w:tr w:rsidR="000359D7" w:rsidTr="000359D7">
        <w:trPr>
          <w:trHeight w:val="720"/>
        </w:trPr>
        <w:tc>
          <w:tcPr>
            <w:tcW w:w="139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kern w:val="0"/>
                <w:sz w:val="44"/>
                <w:szCs w:val="44"/>
              </w:rPr>
              <w:t>江西省商务发展专项资金、江西省供销发展专项资金绩效目标表</w:t>
            </w:r>
          </w:p>
        </w:tc>
      </w:tr>
      <w:tr w:rsidR="000359D7" w:rsidTr="000359D7">
        <w:trPr>
          <w:trHeight w:val="28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59D7" w:rsidRDefault="000359D7">
            <w:pPr>
              <w:rPr>
                <w:sz w:val="24"/>
                <w:szCs w:val="24"/>
              </w:rPr>
            </w:pPr>
          </w:p>
        </w:tc>
      </w:tr>
      <w:tr w:rsidR="000359D7" w:rsidTr="000359D7">
        <w:trPr>
          <w:trHeight w:val="600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专项名称</w:t>
            </w:r>
          </w:p>
        </w:tc>
        <w:tc>
          <w:tcPr>
            <w:tcW w:w="90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江西省商务发展专项资金、江西省供销发展专项资金</w:t>
            </w:r>
          </w:p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（支持县域物流配送体系建设试点事项）</w:t>
            </w:r>
          </w:p>
        </w:tc>
      </w:tr>
      <w:tr w:rsidR="000359D7" w:rsidTr="000359D7">
        <w:trPr>
          <w:trHeight w:val="600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省级主管单位</w:t>
            </w:r>
          </w:p>
        </w:tc>
        <w:tc>
          <w:tcPr>
            <w:tcW w:w="90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江西省商务厅、江西省财政厅、江西省供销联社</w:t>
            </w:r>
          </w:p>
        </w:tc>
      </w:tr>
      <w:tr w:rsidR="000359D7" w:rsidTr="000359D7">
        <w:trPr>
          <w:trHeight w:val="600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市县主管部门</w:t>
            </w:r>
          </w:p>
        </w:tc>
        <w:tc>
          <w:tcPr>
            <w:tcW w:w="90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景德（镇）市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市县商务主管部门、财政部门、供销主管部门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资金情况</w:t>
            </w:r>
          </w:p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总预算数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500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其中：省级资金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500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市县资金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359D7" w:rsidTr="000359D7">
        <w:trPr>
          <w:trHeight w:val="132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122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支持县级物流配送中心仓储、货架、分拣设备、托盘、周转箱、配送车辆等基础设施标准化、信息化建设和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第四方物流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体系建设；完善县级物流配送中心、乡（镇）中转站点、村级服务网点基础设施和标准化、信息化建设，进一步建立县域物流大市场，畅通农产品进城和工业品下乡双向渠道，构建畅通高效、协同共享、标准规范、智能绿色、融合开放的县域物流配送体系。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指标值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建设县级物流配送中心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个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lastRenderedPageBreak/>
              <w:t>绩效指标</w:t>
            </w: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完成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第四方物流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供销集配中心标准化提升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个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建立县域物流数字化运营平台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个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县域物流配送及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第四方物流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供销集配体系建设验收合格率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≥90%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第四方物流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供销集配乡（镇）及村级末端网点建设覆盖率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≥85%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标准化车队建设覆盖率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≥80%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各项工作完成及时率（截止</w:t>
            </w:r>
            <w:r>
              <w:rPr>
                <w:rFonts w:eastAsia="仿宋_GB2312"/>
                <w:kern w:val="0"/>
                <w:sz w:val="24"/>
                <w:szCs w:val="24"/>
              </w:rPr>
              <w:t>2024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31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日）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≥90%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经济效益</w:t>
            </w:r>
          </w:p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互联网</w:t>
            </w:r>
            <w:r>
              <w:rPr>
                <w:rFonts w:eastAsia="仿宋_GB2312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第四方物流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供销集配上下行物流件数增长率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≥10%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县域社会货运量增长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≥3%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社会效益</w:t>
            </w:r>
          </w:p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带动就业人数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≥5000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人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物流快递通达率及配送效率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提高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县域物流配送体系运维机制健全性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健全</w:t>
            </w:r>
          </w:p>
        </w:tc>
      </w:tr>
      <w:tr w:rsidR="000359D7" w:rsidTr="000359D7">
        <w:trPr>
          <w:trHeight w:val="6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7" w:rsidRDefault="000359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获得支持项目单位满意度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9D7" w:rsidRDefault="000359D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≥85%</w:t>
            </w:r>
          </w:p>
        </w:tc>
      </w:tr>
    </w:tbl>
    <w:p w:rsidR="00AC6172" w:rsidRDefault="00AC6172"/>
    <w:sectPr w:rsidR="00AC6172" w:rsidSect="000359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9D7"/>
    <w:rsid w:val="000359D7"/>
    <w:rsid w:val="000D749C"/>
    <w:rsid w:val="00AC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D7"/>
    <w:pPr>
      <w:widowControl w:val="0"/>
      <w:ind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2023-05-11T07:31:00Z</dcterms:created>
  <dcterms:modified xsi:type="dcterms:W3CDTF">2023-05-11T07:32:00Z</dcterms:modified>
</cp:coreProperties>
</file>