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pacing w:line="62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乐平市农业农村局</w:t>
      </w:r>
    </w:p>
    <w:p>
      <w:pPr>
        <w:autoSpaceDE/>
        <w:autoSpaceDN/>
        <w:spacing w:line="620" w:lineRule="exact"/>
        <w:jc w:val="center"/>
        <w:rPr>
          <w:rFonts w:hint="eastAsia" w:ascii="宋体" w:hAnsi="宋体" w:eastAsia="宋体" w:cs="宋体"/>
          <w:b/>
          <w:bCs/>
          <w:sz w:val="4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32"/>
          <w:lang w:eastAsia="zh-CN"/>
        </w:rPr>
        <w:t>部门整体支出绩效自评报告</w:t>
      </w:r>
    </w:p>
    <w:p>
      <w:pPr>
        <w:autoSpaceDE/>
        <w:autoSpaceDN/>
        <w:spacing w:line="620" w:lineRule="exact"/>
        <w:jc w:val="center"/>
        <w:rPr>
          <w:rFonts w:hint="eastAsia" w:ascii="宋体" w:hAnsi="宋体" w:eastAsia="宋体" w:cs="宋体"/>
          <w:sz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2022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年度）</w:t>
      </w:r>
    </w:p>
    <w:p>
      <w:pPr>
        <w:autoSpaceDE/>
        <w:autoSpaceDN/>
        <w:spacing w:line="620" w:lineRule="exact"/>
        <w:jc w:val="center"/>
        <w:rPr>
          <w:rFonts w:hint="eastAsia" w:ascii="宋体" w:hAnsi="宋体" w:eastAsia="宋体" w:cs="宋体"/>
          <w:szCs w:val="32"/>
          <w:lang w:eastAsia="zh-CN"/>
        </w:rPr>
      </w:pPr>
    </w:p>
    <w:p>
      <w:pPr>
        <w:autoSpaceDE/>
        <w:autoSpaceDN/>
        <w:spacing w:line="620" w:lineRule="exact"/>
        <w:ind w:firstLine="643" w:firstLineChars="200"/>
        <w:jc w:val="both"/>
        <w:rPr>
          <w:rFonts w:hint="eastAsia" w:ascii="宋体" w:hAnsi="宋体" w:eastAsia="宋体" w:cs="宋体"/>
          <w:sz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lang w:eastAsia="zh-CN"/>
        </w:rPr>
        <w:t>一、部门概况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/>
          <w:sz w:val="32"/>
          <w:lang w:eastAsia="zh-CN"/>
        </w:rPr>
        <w:t>（一）部门主要职责职能等基本情况。</w:t>
      </w:r>
    </w:p>
    <w:p>
      <w:pPr>
        <w:spacing w:line="62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部门主要职责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宋体" w:hAnsi="宋体" w:eastAsia="宋体" w:cs="宋体"/>
          <w:sz w:val="32"/>
          <w:szCs w:val="32"/>
        </w:rPr>
        <w:t>实施全市乡村振兴战略,深化农业供给侧结构性改革,提升农业发展质量,扎实推进美丽乡村建设,建立乡（镇）党政班子和领导干部推进乡村振兴战略考核机制，推动乐平市农业全面升级、农村全面进步、农民全面发展,加快实现农业农村现代化。2.加强全市农产品质量安全和相关农业生产资料、农业投入品的监督管理,坚持最严谨的标准、最严格的监管、最严厉的处罚、最严肃的同责,严防、严管、严控质量安全风险,让人民群众吃得放心、安心。3.深入推进简政放权,加强对全市行业内交叉重复以及性质相同、用途相近的农业投资项目的统筹整合,最大限度缩小项目审批范围,进一步下放审批权限,加强事中事后监管,切实提升国家支农政策效果和资金使用效益。</w:t>
      </w:r>
    </w:p>
    <w:p>
      <w:pPr>
        <w:snapToGrid w:val="0"/>
        <w:spacing w:line="52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部门基本情况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本部门共有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1个预算单位，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乐平市农业农村局。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初纳入财政预算的在编</w:t>
      </w:r>
      <w:r>
        <w:rPr>
          <w:rFonts w:hint="eastAsia" w:ascii="仿宋_GB2312" w:hAnsi="仿宋_GB2312" w:eastAsia="仿宋_GB2312" w:cs="仿宋_GB2312"/>
          <w:sz w:val="32"/>
          <w:szCs w:val="32"/>
        </w:rPr>
        <w:t>实有人数</w:t>
      </w:r>
      <w:r>
        <w:rPr>
          <w:rFonts w:hint="eastAsia" w:cs="仿宋_GB2312"/>
          <w:sz w:val="32"/>
          <w:szCs w:val="32"/>
          <w:lang w:val="en-US" w:eastAsia="zh-CN"/>
        </w:rPr>
        <w:t>473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人，其中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在职人员</w:t>
      </w:r>
      <w:r>
        <w:rPr>
          <w:rFonts w:hint="eastAsia" w:cs="仿宋_GB2312"/>
          <w:sz w:val="32"/>
          <w:szCs w:val="32"/>
          <w:lang w:val="en-US" w:eastAsia="zh-CN"/>
        </w:rPr>
        <w:t>214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退休人员</w:t>
      </w:r>
      <w:r>
        <w:rPr>
          <w:rFonts w:hint="eastAsia" w:cs="仿宋_GB2312"/>
          <w:sz w:val="32"/>
          <w:szCs w:val="32"/>
          <w:lang w:val="en-US" w:eastAsia="zh-CN"/>
        </w:rPr>
        <w:t>243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遗属</w:t>
      </w:r>
      <w:r>
        <w:rPr>
          <w:rFonts w:hint="eastAsia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；不包括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聘用人员</w:t>
      </w:r>
      <w:r>
        <w:rPr>
          <w:rFonts w:hint="eastAsia" w:cs="仿宋_GB2312"/>
          <w:sz w:val="32"/>
          <w:szCs w:val="32"/>
          <w:lang w:eastAsia="zh-CN"/>
        </w:rPr>
        <w:t>、退伍军人等应保障未保障人员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lang w:eastAsia="zh-CN"/>
        </w:rPr>
      </w:pPr>
      <w:r>
        <w:rPr>
          <w:rFonts w:hint="eastAsia"/>
          <w:sz w:val="32"/>
          <w:lang w:eastAsia="zh-CN"/>
        </w:rPr>
        <w:t>（二）</w:t>
      </w:r>
      <w:r>
        <w:rPr>
          <w:rFonts w:hint="eastAsia" w:ascii="宋体" w:hAnsi="宋体" w:eastAsia="宋体" w:cs="宋体"/>
          <w:b w:val="0"/>
          <w:bCs w:val="0"/>
          <w:sz w:val="32"/>
          <w:lang w:eastAsia="zh-CN"/>
        </w:rPr>
        <w:t>当年部门履职总体目标、工作任务。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szCs w:val="30"/>
          <w:lang w:eastAsia="zh-CN"/>
        </w:rPr>
      </w:pPr>
      <w:r>
        <w:rPr>
          <w:rFonts w:hint="eastAsia" w:ascii="宋体" w:hAnsi="宋体" w:eastAsia="宋体" w:cs="宋体"/>
          <w:sz w:val="32"/>
          <w:szCs w:val="30"/>
          <w:lang w:eastAsia="zh-CN"/>
        </w:rPr>
        <w:t>对全乐平市动物养殖户、植物种植户进行培训、指导、监督工作，做好了动物、植物各钟疾病的防疫工作，减少了动物、植物发病的概率，同时控制好了发病区域范围的扩散，保证了市民的达标肉类供应，及吃上了绿色环保的新鲜蔬菜、水果等；积极响应国家有关政策，维护粮农利益，做到粮农的粮食应收尽收，维护乐平粮食的一方稳定，重金属超标粮另行处理存放，让市民吃上放心粮油；优化调整全市产业结构，进行农业综合开发 ；加强对全市新农村建设，打造乐平美丽乡村等。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szCs w:val="30"/>
          <w:lang w:eastAsia="zh-CN"/>
        </w:rPr>
      </w:pPr>
      <w:r>
        <w:rPr>
          <w:rFonts w:hint="eastAsia"/>
          <w:sz w:val="32"/>
          <w:lang w:eastAsia="zh-CN"/>
        </w:rPr>
        <w:t>（三）</w:t>
      </w:r>
      <w:r>
        <w:rPr>
          <w:rFonts w:hint="eastAsia" w:ascii="宋体" w:hAnsi="宋体" w:eastAsia="宋体" w:cs="宋体"/>
          <w:b w:val="0"/>
          <w:bCs w:val="0"/>
          <w:sz w:val="32"/>
          <w:lang w:eastAsia="zh-CN"/>
        </w:rPr>
        <w:t>当年部门</w:t>
      </w:r>
      <w:r>
        <w:rPr>
          <w:rFonts w:hint="eastAsia" w:ascii="宋体" w:hAnsi="宋体" w:eastAsia="宋体" w:cs="宋体"/>
          <w:b w:val="0"/>
          <w:bCs w:val="0"/>
          <w:sz w:val="32"/>
          <w:szCs w:val="30"/>
          <w:lang w:eastAsia="zh-CN"/>
        </w:rPr>
        <w:t>年度整体支出绩效目标。</w:t>
      </w:r>
    </w:p>
    <w:p>
      <w:pPr>
        <w:widowControl/>
        <w:spacing w:line="520" w:lineRule="exact"/>
        <w:ind w:firstLine="640"/>
        <w:rPr>
          <w:rFonts w:hint="eastAsia" w:ascii="宋体" w:hAnsi="宋体" w:eastAsia="宋体" w:cs="宋体"/>
          <w:sz w:val="32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0"/>
          <w:lang w:eastAsia="zh-CN"/>
        </w:rPr>
        <w:t>目标</w:t>
      </w:r>
      <w:r>
        <w:rPr>
          <w:rFonts w:hint="eastAsia" w:ascii="宋体" w:hAnsi="宋体" w:eastAsia="宋体" w:cs="宋体"/>
          <w:sz w:val="32"/>
          <w:szCs w:val="30"/>
          <w:lang w:val="en-US" w:eastAsia="zh-CN"/>
        </w:rPr>
        <w:t>1：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强化属地管理责任、落实部门监管职能，进一步建立健全农产品质量安全监管、检测、执法体系，强化农产品质量安全监管、检测、执法工作，大力开展农产品质量安全专项整治，提升农产品质量安全水平，确保不发生重大农产品质量安全事件。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0"/>
          <w:lang w:val="en-US" w:eastAsia="zh-CN"/>
        </w:rPr>
        <w:t>目标2：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贯彻执行涉农惠农相关政策</w:t>
      </w:r>
      <w:r>
        <w:rPr>
          <w:rFonts w:hint="eastAsia" w:cs="仿宋_GB2312"/>
          <w:sz w:val="32"/>
          <w:szCs w:val="32"/>
          <w:lang w:eastAsia="zh-CN"/>
        </w:rPr>
        <w:t>工作</w:t>
      </w:r>
      <w:r>
        <w:rPr>
          <w:rFonts w:hint="eastAsia" w:ascii="宋体" w:hAnsi="宋体" w:eastAsia="宋体" w:cs="宋体"/>
          <w:sz w:val="32"/>
          <w:szCs w:val="30"/>
          <w:lang w:val="en-US" w:eastAsia="zh-CN"/>
        </w:rPr>
        <w:t>正常运行，工作人员顺利完成各项任务。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szCs w:val="30"/>
          <w:lang w:eastAsia="zh-CN"/>
        </w:rPr>
      </w:pPr>
      <w:r>
        <w:rPr>
          <w:rFonts w:hint="eastAsia"/>
          <w:sz w:val="32"/>
          <w:szCs w:val="30"/>
          <w:lang w:eastAsia="zh-CN"/>
        </w:rPr>
        <w:t>（四）</w:t>
      </w:r>
      <w:r>
        <w:rPr>
          <w:rFonts w:hint="eastAsia" w:ascii="宋体" w:hAnsi="宋体" w:eastAsia="宋体" w:cs="宋体"/>
          <w:b w:val="0"/>
          <w:bCs w:val="0"/>
          <w:sz w:val="32"/>
          <w:szCs w:val="30"/>
          <w:lang w:eastAsia="zh-CN"/>
        </w:rPr>
        <w:t>部门预算绩效管理开展情况。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lang w:eastAsia="zh-CN"/>
        </w:rPr>
      </w:pPr>
      <w:r>
        <w:rPr>
          <w:rFonts w:hint="eastAsia" w:ascii="宋体" w:hAnsi="宋体" w:eastAsia="宋体" w:cs="宋体"/>
          <w:sz w:val="32"/>
          <w:lang w:eastAsia="zh-CN"/>
        </w:rPr>
        <w:t>接到上级文件后，我局及时召开了预算绩效工作会议，成立了由一名分管局长和相关支出股室为成员的领导小组，明确了各自工作职责。具体工作由计财股督促各股室按要求按时高质量完成此项工作。</w:t>
      </w:r>
    </w:p>
    <w:p>
      <w:pPr>
        <w:numPr>
          <w:ilvl w:val="0"/>
          <w:numId w:val="0"/>
        </w:num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szCs w:val="30"/>
          <w:lang w:eastAsia="zh-CN"/>
        </w:rPr>
      </w:pPr>
      <w:r>
        <w:rPr>
          <w:rFonts w:hint="eastAsia"/>
          <w:sz w:val="32"/>
          <w:lang w:eastAsia="zh-CN"/>
        </w:rPr>
        <w:t>（五）</w:t>
      </w:r>
      <w:r>
        <w:rPr>
          <w:rFonts w:hint="eastAsia" w:ascii="宋体" w:hAnsi="宋体" w:eastAsia="宋体" w:cs="宋体"/>
          <w:b w:val="0"/>
          <w:bCs w:val="0"/>
          <w:sz w:val="32"/>
          <w:lang w:eastAsia="zh-CN"/>
        </w:rPr>
        <w:t>当年部门</w:t>
      </w:r>
      <w:r>
        <w:rPr>
          <w:rFonts w:hint="eastAsia" w:ascii="宋体" w:hAnsi="宋体" w:eastAsia="宋体" w:cs="宋体"/>
          <w:b w:val="0"/>
          <w:bCs w:val="0"/>
          <w:sz w:val="32"/>
          <w:szCs w:val="30"/>
          <w:lang w:eastAsia="zh-CN"/>
        </w:rPr>
        <w:t>预算及执行情况。</w:t>
      </w:r>
    </w:p>
    <w:p>
      <w:pPr>
        <w:numPr>
          <w:ilvl w:val="0"/>
          <w:numId w:val="0"/>
        </w:num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我单位是行政事业单位，部门预算收入主要为：人员经费、公用经费、三公经费、政府采购预算等，资金来源为全额财政拨款。</w:t>
      </w:r>
    </w:p>
    <w:p>
      <w:pPr>
        <w:numPr>
          <w:ilvl w:val="0"/>
          <w:numId w:val="0"/>
        </w:num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20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年的预算总额为</w:t>
      </w:r>
      <w:r>
        <w:rPr>
          <w:rFonts w:hint="eastAsia" w:cs="仿宋_GB2312"/>
          <w:b w:val="0"/>
          <w:bCs/>
          <w:sz w:val="32"/>
          <w:szCs w:val="32"/>
          <w:lang w:val="en-US" w:eastAsia="zh-CN"/>
        </w:rPr>
        <w:t>2852.33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万元。具体来源是：财政拨款</w:t>
      </w:r>
      <w:r>
        <w:rPr>
          <w:rFonts w:hint="eastAsia" w:cs="仿宋_GB2312"/>
          <w:b w:val="0"/>
          <w:bCs/>
          <w:sz w:val="32"/>
          <w:szCs w:val="32"/>
          <w:lang w:val="en-US" w:eastAsia="zh-CN"/>
        </w:rPr>
        <w:t>2852.33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万元，其中：</w:t>
      </w:r>
    </w:p>
    <w:p>
      <w:pPr>
        <w:numPr>
          <w:ilvl w:val="0"/>
          <w:numId w:val="0"/>
        </w:numPr>
        <w:autoSpaceDE/>
        <w:autoSpaceDN/>
        <w:spacing w:line="620" w:lineRule="exact"/>
        <w:jc w:val="both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1、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日常经费拨款</w:t>
      </w:r>
      <w:r>
        <w:rPr>
          <w:rFonts w:hint="eastAsia" w:cs="仿宋_GB2312"/>
          <w:color w:val="333333"/>
          <w:kern w:val="0"/>
          <w:sz w:val="32"/>
          <w:szCs w:val="32"/>
          <w:lang w:val="en-US" w:eastAsia="zh-CN" w:bidi="ar"/>
        </w:rPr>
        <w:t>2313.19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万元。</w:t>
      </w:r>
    </w:p>
    <w:p>
      <w:pPr>
        <w:numPr>
          <w:ilvl w:val="0"/>
          <w:numId w:val="0"/>
        </w:numPr>
        <w:autoSpaceDE/>
        <w:autoSpaceDN/>
        <w:spacing w:line="620" w:lineRule="exact"/>
        <w:jc w:val="both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2、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专项经费拨款</w:t>
      </w:r>
      <w:r>
        <w:rPr>
          <w:rFonts w:hint="eastAsia" w:cs="仿宋_GB2312"/>
          <w:color w:val="333333"/>
          <w:kern w:val="0"/>
          <w:sz w:val="32"/>
          <w:szCs w:val="32"/>
          <w:lang w:val="en-US" w:eastAsia="zh-CN" w:bidi="ar"/>
        </w:rPr>
        <w:t>539.14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万元。</w:t>
      </w:r>
    </w:p>
    <w:p>
      <w:pPr>
        <w:numPr>
          <w:ilvl w:val="0"/>
          <w:numId w:val="0"/>
        </w:num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支出总额为</w:t>
      </w:r>
      <w:r>
        <w:rPr>
          <w:rFonts w:hint="eastAsia" w:cs="仿宋_GB2312"/>
          <w:b w:val="0"/>
          <w:bCs/>
          <w:sz w:val="32"/>
          <w:szCs w:val="32"/>
          <w:lang w:val="en-US" w:eastAsia="zh-CN"/>
        </w:rPr>
        <w:t>2765.83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万元，具体项目是：</w:t>
      </w:r>
    </w:p>
    <w:p>
      <w:pPr>
        <w:numPr>
          <w:ilvl w:val="0"/>
          <w:numId w:val="0"/>
        </w:numPr>
        <w:autoSpaceDE/>
        <w:autoSpaceDN/>
        <w:spacing w:line="620" w:lineRule="exact"/>
        <w:jc w:val="both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1、基本支出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2297.06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万元。</w:t>
      </w:r>
    </w:p>
    <w:p>
      <w:pPr>
        <w:numPr>
          <w:ilvl w:val="0"/>
          <w:numId w:val="0"/>
        </w:numPr>
        <w:autoSpaceDE/>
        <w:autoSpaceDN/>
        <w:spacing w:line="620" w:lineRule="exact"/>
        <w:jc w:val="both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2、项目支出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468.77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万元。</w:t>
      </w:r>
    </w:p>
    <w:p>
      <w:pPr>
        <w:numPr>
          <w:ilvl w:val="0"/>
          <w:numId w:val="0"/>
        </w:numPr>
        <w:autoSpaceDE/>
        <w:autoSpaceDN/>
        <w:spacing w:line="620" w:lineRule="exact"/>
        <w:jc w:val="both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项目支出严格按照项目经费指定用途使用，确保专款专用，充分发挥资金使用效益，基本收支平衡。</w:t>
      </w:r>
    </w:p>
    <w:p>
      <w:pPr>
        <w:autoSpaceDE/>
        <w:autoSpaceDN/>
        <w:spacing w:line="620" w:lineRule="exact"/>
        <w:ind w:firstLine="643" w:firstLineChars="200"/>
        <w:jc w:val="both"/>
        <w:rPr>
          <w:rFonts w:hint="eastAsia" w:ascii="宋体" w:hAnsi="宋体" w:eastAsia="宋体" w:cs="宋体"/>
          <w:b/>
          <w:bCs/>
          <w:sz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lang w:eastAsia="zh-CN"/>
        </w:rPr>
        <w:t>二、部门整体支出绩效实现情况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lang w:eastAsia="zh-CN"/>
        </w:rPr>
      </w:pPr>
      <w:r>
        <w:rPr>
          <w:rFonts w:hint="eastAsia" w:ascii="宋体" w:hAnsi="宋体" w:eastAsia="宋体" w:cs="宋体"/>
          <w:sz w:val="32"/>
          <w:lang w:eastAsia="zh-CN"/>
        </w:rPr>
        <w:t>（一）履职完成情况：从数量、质量、时效等方面归纳反映年度主要计划任务完成情况。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eastAsia="zh-CN"/>
        </w:rPr>
        <w:t>数量：</w:t>
      </w:r>
      <w:r>
        <w:rPr>
          <w:rFonts w:hint="eastAsia" w:ascii="宋体" w:hAnsi="宋体" w:eastAsia="宋体" w:cs="宋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1：农产品质量安全监督抽查任务完成率</w:t>
      </w:r>
      <w:r>
        <w:rPr>
          <w:rFonts w:hint="eastAsia" w:ascii="宋体" w:hAnsi="宋体" w:eastAsia="宋体" w:cs="宋体"/>
          <w:sz w:val="32"/>
          <w:lang w:val="en-US" w:eastAsia="zh-CN"/>
        </w:rPr>
        <w:t>=</w:t>
      </w:r>
      <w:r>
        <w:rPr>
          <w:rFonts w:hint="eastAsia" w:ascii="宋体" w:hAnsi="宋体" w:eastAsia="宋体" w:cs="宋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100%</w:t>
      </w:r>
      <w:r>
        <w:rPr>
          <w:rFonts w:hint="eastAsia" w:ascii="宋体" w:hAnsi="宋体" w:eastAsia="宋体" w:cs="宋体"/>
          <w:sz w:val="32"/>
          <w:lang w:val="en-US" w:eastAsia="zh-CN"/>
        </w:rPr>
        <w:t>，工作人员数=214人。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质量：</w:t>
      </w:r>
      <w:r>
        <w:rPr>
          <w:rFonts w:hint="eastAsia" w:ascii="宋体" w:hAnsi="宋体" w:eastAsia="宋体" w:cs="宋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农产品质量安全监测合格率</w:t>
      </w:r>
      <w:r>
        <w:rPr>
          <w:rFonts w:hint="eastAsia" w:ascii="宋体" w:hAnsi="宋体" w:eastAsia="宋体" w:cs="宋体"/>
          <w:sz w:val="32"/>
          <w:lang w:val="en-US" w:eastAsia="zh-CN"/>
        </w:rPr>
        <w:t>=100%。</w:t>
      </w:r>
    </w:p>
    <w:p>
      <w:pPr>
        <w:numPr>
          <w:ilvl w:val="0"/>
          <w:numId w:val="1"/>
        </w:num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lang w:eastAsia="zh-CN"/>
        </w:rPr>
      </w:pPr>
      <w:r>
        <w:rPr>
          <w:rFonts w:hint="eastAsia" w:ascii="宋体" w:hAnsi="宋体" w:eastAsia="宋体" w:cs="宋体"/>
          <w:sz w:val="32"/>
          <w:lang w:eastAsia="zh-CN"/>
        </w:rPr>
        <w:t>履职效果情况：从社会效益、经济效益（如有）、生态效益（如有）等方面反映部门履职效果的实现情况。</w:t>
      </w:r>
    </w:p>
    <w:p>
      <w:pPr>
        <w:numPr>
          <w:ilvl w:val="0"/>
          <w:numId w:val="0"/>
        </w:num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z w:val="32"/>
          <w:lang w:eastAsia="zh-CN"/>
        </w:rPr>
        <w:t>社会效益：</w:t>
      </w:r>
      <w:r>
        <w:rPr>
          <w:rFonts w:hint="eastAsia" w:ascii="宋体" w:hAnsi="宋体" w:eastAsia="宋体" w:cs="宋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农产品质量安全水平  大幅提升</w:t>
      </w:r>
    </w:p>
    <w:p>
      <w:pPr>
        <w:autoSpaceDE/>
        <w:autoSpaceDN/>
        <w:spacing w:line="620" w:lineRule="exact"/>
        <w:ind w:firstLine="643" w:firstLineChars="200"/>
        <w:jc w:val="both"/>
        <w:rPr>
          <w:rFonts w:hint="eastAsia" w:ascii="宋体" w:hAnsi="宋体" w:eastAsia="宋体" w:cs="宋体"/>
          <w:b/>
          <w:bCs/>
          <w:sz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lang w:eastAsia="zh-CN"/>
        </w:rPr>
        <w:t>三、部门整体支出绩效中存在问题及改进措施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lang w:eastAsia="zh-CN"/>
        </w:rPr>
      </w:pPr>
      <w:r>
        <w:rPr>
          <w:rFonts w:hint="eastAsia" w:ascii="宋体" w:hAnsi="宋体" w:eastAsia="宋体" w:cs="宋体"/>
          <w:sz w:val="32"/>
          <w:lang w:eastAsia="zh-CN"/>
        </w:rPr>
        <w:t>（一）主要问题及原因分析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农产品质量安全监管、检测、执法工作</w:t>
      </w:r>
      <w:r>
        <w:rPr>
          <w:rFonts w:hint="eastAsia" w:cs="仿宋_GB2312"/>
          <w:color w:val="000000"/>
          <w:sz w:val="32"/>
          <w:szCs w:val="32"/>
          <w:lang w:eastAsia="zh-CN"/>
        </w:rPr>
        <w:t>经费严重不足，设备落后，导致科技水平低、基层农产品检测能力严重不足、产品检测单一；质量安全追溯管理机制不健全，缺乏信息共享。同时，加上农产品生产行业自律能力差。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开展农产品质量安全专项整治</w:t>
      </w:r>
      <w:r>
        <w:rPr>
          <w:rFonts w:hint="eastAsia" w:cs="仿宋_GB2312"/>
          <w:color w:val="000000"/>
          <w:sz w:val="32"/>
          <w:szCs w:val="32"/>
          <w:lang w:eastAsia="zh-CN"/>
        </w:rPr>
        <w:t>工作，</w:t>
      </w:r>
      <w:r>
        <w:rPr>
          <w:rFonts w:hint="eastAsia" w:ascii="宋体" w:hAnsi="宋体" w:eastAsia="宋体" w:cs="宋体"/>
          <w:sz w:val="32"/>
          <w:lang w:eastAsia="zh-CN"/>
        </w:rPr>
        <w:t>还要进一步加强。</w:t>
      </w:r>
    </w:p>
    <w:p>
      <w:pPr>
        <w:autoSpaceDE/>
        <w:autoSpaceDN/>
        <w:spacing w:line="620" w:lineRule="exact"/>
        <w:ind w:firstLine="640" w:firstLineChars="200"/>
        <w:jc w:val="both"/>
        <w:rPr>
          <w:rFonts w:hint="eastAsia" w:ascii="宋体" w:hAnsi="宋体" w:eastAsia="宋体" w:cs="宋体"/>
          <w:sz w:val="32"/>
          <w:lang w:eastAsia="zh-CN"/>
        </w:rPr>
      </w:pPr>
      <w:r>
        <w:rPr>
          <w:rFonts w:hint="eastAsia" w:ascii="宋体" w:hAnsi="宋体" w:eastAsia="宋体" w:cs="宋体"/>
          <w:sz w:val="32"/>
          <w:lang w:eastAsia="zh-CN"/>
        </w:rPr>
        <w:t>（二）改进的方向和具体措施</w:t>
      </w:r>
    </w:p>
    <w:p>
      <w:pPr>
        <w:pStyle w:val="2"/>
        <w:ind w:firstLine="640" w:firstLineChars="200"/>
        <w:rPr>
          <w:rFonts w:hint="eastAsia" w:ascii="宋体" w:hAnsi="宋体" w:eastAsia="宋体" w:cs="宋体"/>
          <w:b w:val="0"/>
          <w:bCs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lang w:eastAsia="zh-CN"/>
        </w:rPr>
        <w:t>1、加强宣传，强化培训，提高公众农产品安全意识。</w:t>
      </w:r>
    </w:p>
    <w:p>
      <w:pPr>
        <w:pStyle w:val="2"/>
        <w:ind w:firstLine="640" w:firstLineChars="200"/>
        <w:rPr>
          <w:rFonts w:hint="eastAsia" w:ascii="宋体" w:hAnsi="宋体" w:eastAsia="宋体" w:cs="宋体"/>
          <w:b w:val="0"/>
          <w:bCs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lang w:eastAsia="zh-CN"/>
        </w:rPr>
        <w:t>2、加大农业生产品投入监管力度。</w:t>
      </w:r>
    </w:p>
    <w:p>
      <w:pPr>
        <w:pStyle w:val="2"/>
        <w:ind w:firstLine="640" w:firstLineChars="200"/>
        <w:rPr>
          <w:rFonts w:hint="eastAsia" w:ascii="宋体" w:hAnsi="宋体" w:eastAsia="宋体" w:cs="宋体"/>
          <w:b w:val="0"/>
          <w:bCs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lang w:eastAsia="zh-CN"/>
        </w:rPr>
        <w:t>、强化技术服务，提高质量安全服务水平。</w:t>
      </w:r>
    </w:p>
    <w:p>
      <w:pPr>
        <w:pStyle w:val="2"/>
        <w:ind w:firstLine="640" w:firstLineChars="200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4、进一步完善农产品质量安全追溯体系。</w:t>
      </w:r>
    </w:p>
    <w:p>
      <w:pPr>
        <w:pStyle w:val="2"/>
        <w:ind w:firstLine="643" w:firstLineChars="200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四、绩效自评结果拟应用和公开情况</w:t>
      </w:r>
    </w:p>
    <w:p>
      <w:pPr>
        <w:pStyle w:val="2"/>
        <w:ind w:firstLine="640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1、</w:t>
      </w:r>
      <w:r>
        <w:rPr>
          <w:rFonts w:hint="eastAsia" w:ascii="宋体" w:hAnsi="宋体" w:eastAsia="宋体" w:cs="宋体"/>
          <w:lang w:eastAsia="zh-CN"/>
        </w:rPr>
        <w:t>我单位逐步建立绩效评价与部门预算相结合的结果应用机制，采取项目预期绩效目标申报制度，强化评价结果在部门预算编制和执行中的应用，实现绩效评价结果在部门预算编制和执行中的应用，更好的执行相关的涉农政策，促进“三农工作”的有序开展。</w:t>
      </w:r>
    </w:p>
    <w:p>
      <w:pPr>
        <w:pStyle w:val="2"/>
        <w:ind w:firstLine="640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2、我单位按规定在政府门户网站公开了部门预决算，其中覆盖了绩效的相关信息，数据真实、完整、准确。</w:t>
      </w:r>
    </w:p>
    <w:p/>
    <w:sectPr>
      <w:headerReference r:id="rId3" w:type="default"/>
      <w:footerReference r:id="rId4" w:type="default"/>
      <w:pgSz w:w="11906" w:h="16838"/>
      <w:pgMar w:top="1157" w:right="1293" w:bottom="1157" w:left="129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A17F0A"/>
    <w:multiLevelType w:val="singleLevel"/>
    <w:tmpl w:val="EBA17F0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0ZDBmZmFiZGI1OWY5YWRkZWI1NGFkODM4NmM1NjQifQ=="/>
  </w:docVars>
  <w:rsids>
    <w:rsidRoot w:val="00000000"/>
    <w:rsid w:val="00061088"/>
    <w:rsid w:val="03430FB3"/>
    <w:rsid w:val="037F0D00"/>
    <w:rsid w:val="05254443"/>
    <w:rsid w:val="0C467F72"/>
    <w:rsid w:val="0C8626C7"/>
    <w:rsid w:val="0C8B0C04"/>
    <w:rsid w:val="0CFF3DCD"/>
    <w:rsid w:val="13A80BCA"/>
    <w:rsid w:val="13CC4E84"/>
    <w:rsid w:val="14882D1A"/>
    <w:rsid w:val="160171EC"/>
    <w:rsid w:val="1B3E6A4A"/>
    <w:rsid w:val="1C087855"/>
    <w:rsid w:val="1F1279B7"/>
    <w:rsid w:val="21A90653"/>
    <w:rsid w:val="23ED1EA5"/>
    <w:rsid w:val="25230381"/>
    <w:rsid w:val="2540239C"/>
    <w:rsid w:val="291364E9"/>
    <w:rsid w:val="293C114F"/>
    <w:rsid w:val="2DB2060A"/>
    <w:rsid w:val="2E695A5F"/>
    <w:rsid w:val="2F9864FD"/>
    <w:rsid w:val="309373C4"/>
    <w:rsid w:val="30EE5F72"/>
    <w:rsid w:val="30F229C1"/>
    <w:rsid w:val="31617A99"/>
    <w:rsid w:val="398E653E"/>
    <w:rsid w:val="3D215EDA"/>
    <w:rsid w:val="3E911D2D"/>
    <w:rsid w:val="42362253"/>
    <w:rsid w:val="440A639F"/>
    <w:rsid w:val="47AD60EF"/>
    <w:rsid w:val="48501690"/>
    <w:rsid w:val="485D04E7"/>
    <w:rsid w:val="48FE1B1D"/>
    <w:rsid w:val="4A0A2056"/>
    <w:rsid w:val="4BD64142"/>
    <w:rsid w:val="4C9B0CC2"/>
    <w:rsid w:val="51D30A87"/>
    <w:rsid w:val="52405A7A"/>
    <w:rsid w:val="54C17518"/>
    <w:rsid w:val="54D46E66"/>
    <w:rsid w:val="5766514A"/>
    <w:rsid w:val="58052AE8"/>
    <w:rsid w:val="5A7B02FD"/>
    <w:rsid w:val="5B4A6BCD"/>
    <w:rsid w:val="5C61210C"/>
    <w:rsid w:val="61C74F2F"/>
    <w:rsid w:val="63201BB8"/>
    <w:rsid w:val="63A8770B"/>
    <w:rsid w:val="648259DB"/>
    <w:rsid w:val="6548368B"/>
    <w:rsid w:val="669C13AD"/>
    <w:rsid w:val="693E5F35"/>
    <w:rsid w:val="696A114E"/>
    <w:rsid w:val="6BB25F83"/>
    <w:rsid w:val="6CD65267"/>
    <w:rsid w:val="6EB80FB8"/>
    <w:rsid w:val="70315E9C"/>
    <w:rsid w:val="71D04BCD"/>
    <w:rsid w:val="72C75498"/>
    <w:rsid w:val="742E6A55"/>
    <w:rsid w:val="763600FB"/>
    <w:rsid w:val="767A235D"/>
    <w:rsid w:val="78F5728D"/>
    <w:rsid w:val="7EF1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1838</Words>
  <Characters>1919</Characters>
  <Lines>0</Lines>
  <Paragraphs>0</Paragraphs>
  <TotalTime>7</TotalTime>
  <ScaleCrop>false</ScaleCrop>
  <LinksUpToDate>false</LinksUpToDate>
  <CharactersWithSpaces>1922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乐平市粮食局</cp:lastModifiedBy>
  <cp:lastPrinted>2021-07-14T08:59:00Z</cp:lastPrinted>
  <dcterms:modified xsi:type="dcterms:W3CDTF">2023-01-06T09:16:33Z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1F54A1EE9E804603BB952A8A4B26C9AD</vt:lpwstr>
  </property>
</Properties>
</file>